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Salim's Silver Star Auto, Inc.</w:t>
      </w:r>
    </w:p>
    <w:p>
      <w:pPr>
        <w:jc w:val="center"/>
      </w:pPr>
      <w:r>
        <w:rPr>
          <w:rFonts w:ascii="Times New Roman" w:hAnsi="Times New Roman"/>
          <w:b/>
          <w:sz w:val="24"/>
        </w:rPr>
        <w:t>1034 S. Tejon Street</w:t>
      </w:r>
    </w:p>
    <w:p>
      <w:pPr>
        <w:jc w:val="center"/>
      </w:pPr>
      <w:r>
        <w:rPr>
          <w:rFonts w:ascii="Times New Roman" w:hAnsi="Times New Roman"/>
          <w:b/>
          <w:sz w:val="24"/>
        </w:rPr>
        <w:t>Colorado Springs, CO 80903</w:t>
      </w:r>
    </w:p>
    <w:p/>
    <w:p>
      <w:pPr>
        <w:pStyle w:val="Heading1"/>
      </w:pPr>
      <w:r>
        <w:t>DAY 7 PUBLIC BENEFIT CORPORATION</w:t>
      </w:r>
    </w:p>
    <w:p>
      <w:r>
        <w:rPr>
          <w:rFonts w:ascii="Times New Roman" w:hAnsi="Times New Roman"/>
          <w:i/>
          <w:sz w:val="24"/>
        </w:rPr>
        <w:t>delivering exceeding value, void of all exploitation — truth in the transaction</w:t>
      </w:r>
    </w:p>
    <w:p>
      <w:r>
        <w:rPr>
          <w:rFonts w:ascii="Times New Roman" w:hAnsi="Times New Roman"/>
          <w:b/>
          <w:sz w:val="24"/>
        </w:rPr>
        <w:t>DOC-10</w:t>
      </w:r>
    </w:p>
    <w:p>
      <w:pPr>
        <w:pStyle w:val="Heading1"/>
      </w:pPr>
      <w:r>
        <w:t>UNITED STATES TAX COURT PETITION</w:t>
      </w:r>
    </w:p>
    <w:p>
      <w:pPr>
        <w:pStyle w:val="Heading3"/>
      </w:pPr>
      <w:r>
        <w:t>Draft for Filing Within 90 Days of the Statutory Notice of Deficiency</w:t>
      </w:r>
    </w:p>
    <w:p>
      <w:r>
        <w:rPr>
          <w:rFonts w:ascii="Times New Roman" w:hAnsi="Times New Roman"/>
          <w:b/>
          <w:sz w:val="24"/>
        </w:rPr>
        <w:t>IN THE MATTER OF</w:t>
      </w:r>
    </w:p>
    <w:p>
      <w:r>
        <w:rPr>
          <w:rFonts w:ascii="Times New Roman" w:hAnsi="Times New Roman"/>
          <w:b/>
          <w:sz w:val="24"/>
        </w:rPr>
        <w:t>SALIM'S SILVER STAR AUTO, INC.</w:t>
      </w:r>
    </w:p>
    <w:p>
      <w:r>
        <w:rPr>
          <w:rFonts w:ascii="Times New Roman" w:hAnsi="Times New Roman"/>
          <w:sz w:val="24"/>
        </w:rPr>
        <w:t>Prepared by Day 7 Public Benefit Corporation</w:t>
      </w:r>
    </w:p>
    <w:p>
      <w:r>
        <w:rPr>
          <w:rFonts w:ascii="Times New Roman" w:hAnsi="Times New Roman"/>
          <w:sz w:val="24"/>
        </w:rPr>
        <w:t>Carter Hill, Chief Executive Officer &amp; Strategic Counsel</w:t>
      </w:r>
    </w:p>
    <w:p>
      <w:r>
        <w:rPr>
          <w:rFonts w:ascii="Times New Roman" w:hAnsi="Times New Roman"/>
          <w:sz w:val="24"/>
        </w:rPr>
        <w:t>May 20, 2026</w:t>
      </w:r>
    </w:p>
    <w:p>
      <w:r>
        <w:rPr>
          <w:rFonts w:ascii="Times New Roman" w:hAnsi="Times New Roman"/>
          <w:b/>
          <w:sz w:val="24"/>
        </w:rPr>
        <w:t>PRIVILEGED &amp; CONFIDENTIAL — ATTORNEY WORK PRODUCT — HELD IN ESCROW</w:t>
      </w:r>
    </w:p>
    <w:p>
      <w:pPr>
        <w:ind w:left="720"/>
      </w:pPr>
      <w:r>
        <w:rPr>
          <w:rFonts w:ascii="Times New Roman" w:hAnsi="Times New Roman"/>
          <w:i/>
          <w:sz w:val="24"/>
        </w:rPr>
        <w:t>## FILING INSTRUCTIONS</w:t>
      </w:r>
    </w:p>
    <w:p>
      <w:r>
        <w:rPr>
          <w:rFonts w:ascii="Times New Roman" w:hAnsi="Times New Roman"/>
          <w:sz w:val="24"/>
        </w:rPr>
        <w:t>&gt;</w:t>
      </w:r>
    </w:p>
    <w:p>
      <w:pPr>
        <w:ind w:left="720"/>
      </w:pPr>
      <w:r>
        <w:rPr>
          <w:rFonts w:ascii="Times New Roman" w:hAnsi="Times New Roman"/>
          <w:i/>
          <w:sz w:val="24"/>
        </w:rPr>
        <w:t>This petition is drafted to Tax Court Rule 34 and is held in escrow pending receipt of the Statutory Notice of Deficiency from the Internal Revenue Service. Upon receipt of the SNOD, counsel must insert the SNOD mailing date in paragraph 2, attach the SNOD as Exhibit A, verify all dollar amounts against the SNOD, obtain the signature of Tax-Court-admitted counsel, and file the petition with the United States Tax Court within ninety days of the SNOD mailing date. The ninety-day deadline is jurisdictional in the Tenth Circuit under Hallmark Research Collective v. Commissioner, 159 T.C. 126 (2022). Missing it forfeits Tax Court access permanently.</w:t>
      </w:r>
    </w:p>
    <w:p>
      <w:r>
        <w:rPr>
          <w:rFonts w:ascii="Times New Roman" w:hAnsi="Times New Roman"/>
          <w:b/>
          <w:sz w:val="24"/>
        </w:rPr>
        <w:t>UNITED STATES TAX COURT</w:t>
      </w:r>
    </w:p>
    <w:p>
      <w:r>
        <w:rPr>
          <w:rFonts w:ascii="Times New Roman" w:hAnsi="Times New Roman"/>
          <w:b/>
          <w:sz w:val="24"/>
        </w:rPr>
        <w:t>WASHINGTON, D.C.</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w:t>
            </w:r>
          </w:p>
        </w:tc>
      </w:tr>
      <w:tr>
        <w:tc>
          <w:tcPr>
            <w:tcW w:type="dxa" w:w="4680"/>
          </w:tcPr>
          <w:p>
            <w:r>
              <w:rPr>
                <w:rFonts w:ascii="Times New Roman" w:hAnsi="Times New Roman"/>
                <w:sz w:val="20"/>
              </w:rPr>
            </w:r>
          </w:p>
        </w:tc>
        <w:tc>
          <w:tcPr>
            <w:tcW w:type="dxa" w:w="4680"/>
          </w:tcPr>
          <w:p>
            <w:r>
              <w:rPr>
                <w:rFonts w:ascii="Times New Roman" w:hAnsi="Times New Roman"/>
                <w:sz w:val="20"/>
              </w:rPr>
              <w:t>)</w:t>
            </w:r>
          </w:p>
        </w:tc>
      </w:tr>
      <w:tr>
        <w:tc>
          <w:tcPr>
            <w:tcW w:type="dxa" w:w="4680"/>
          </w:tcPr>
          <w:p>
            <w:r>
              <w:rPr>
                <w:rFonts w:ascii="Times New Roman" w:hAnsi="Times New Roman"/>
                <w:sz w:val="20"/>
              </w:rPr>
              <w:t>Petitioner,</w:t>
            </w:r>
          </w:p>
        </w:tc>
        <w:tc>
          <w:tcPr>
            <w:tcW w:type="dxa" w:w="4680"/>
          </w:tcPr>
          <w:p>
            <w:r>
              <w:rPr>
                <w:rFonts w:ascii="Times New Roman" w:hAnsi="Times New Roman"/>
                <w:sz w:val="20"/>
              </w:rPr>
              <w:t>)</w:t>
            </w:r>
          </w:p>
        </w:tc>
      </w:tr>
      <w:tr>
        <w:tc>
          <w:tcPr>
            <w:tcW w:type="dxa" w:w="4680"/>
          </w:tcPr>
          <w:p>
            <w:r>
              <w:rPr>
                <w:rFonts w:ascii="Times New Roman" w:hAnsi="Times New Roman"/>
                <w:sz w:val="20"/>
              </w:rPr>
            </w:r>
          </w:p>
        </w:tc>
        <w:tc>
          <w:tcPr>
            <w:tcW w:type="dxa" w:w="4680"/>
          </w:tcPr>
          <w:p>
            <w:r>
              <w:rPr>
                <w:rFonts w:ascii="Times New Roman" w:hAnsi="Times New Roman"/>
                <w:sz w:val="20"/>
              </w:rPr>
              <w:t>) Docket No. _______________</w:t>
            </w:r>
          </w:p>
        </w:tc>
      </w:tr>
      <w:tr>
        <w:tc>
          <w:tcPr>
            <w:tcW w:type="dxa" w:w="4680"/>
          </w:tcPr>
          <w:p>
            <w:r>
              <w:rPr>
                <w:rFonts w:ascii="Times New Roman" w:hAnsi="Times New Roman"/>
                <w:sz w:val="20"/>
              </w:rPr>
              <w:t>v.</w:t>
            </w:r>
          </w:p>
        </w:tc>
        <w:tc>
          <w:tcPr>
            <w:tcW w:type="dxa" w:w="4680"/>
          </w:tcPr>
          <w:p>
            <w:r>
              <w:rPr>
                <w:rFonts w:ascii="Times New Roman" w:hAnsi="Times New Roman"/>
                <w:sz w:val="20"/>
              </w:rPr>
              <w:t>)</w:t>
            </w:r>
          </w:p>
        </w:tc>
      </w:tr>
      <w:tr>
        <w:tc>
          <w:tcPr>
            <w:tcW w:type="dxa" w:w="4680"/>
          </w:tcPr>
          <w:p>
            <w:r>
              <w:rPr>
                <w:rFonts w:ascii="Times New Roman" w:hAnsi="Times New Roman"/>
                <w:sz w:val="20"/>
              </w:rPr>
            </w:r>
          </w:p>
        </w:tc>
        <w:tc>
          <w:tcPr>
            <w:tcW w:type="dxa" w:w="4680"/>
          </w:tcPr>
          <w:p>
            <w:r>
              <w:rPr>
                <w:rFonts w:ascii="Times New Roman" w:hAnsi="Times New Roman"/>
                <w:sz w:val="20"/>
              </w:rPr>
              <w:t>)</w:t>
            </w:r>
          </w:p>
        </w:tc>
      </w:tr>
      <w:tr>
        <w:tc>
          <w:tcPr>
            <w:tcW w:type="dxa" w:w="4680"/>
          </w:tcPr>
          <w:p>
            <w:r>
              <w:rPr>
                <w:rFonts w:ascii="Times New Roman" w:hAnsi="Times New Roman"/>
                <w:sz w:val="20"/>
              </w:rPr>
              <w:t>COMMISSIONER OF INTERNAL REVENUE,</w:t>
            </w:r>
          </w:p>
        </w:tc>
        <w:tc>
          <w:tcPr>
            <w:tcW w:type="dxa" w:w="4680"/>
          </w:tcPr>
          <w:p>
            <w:r>
              <w:rPr>
                <w:rFonts w:ascii="Times New Roman" w:hAnsi="Times New Roman"/>
                <w:sz w:val="20"/>
              </w:rPr>
              <w:t>)</w:t>
            </w:r>
          </w:p>
        </w:tc>
      </w:tr>
      <w:tr>
        <w:tc>
          <w:tcPr>
            <w:tcW w:type="dxa" w:w="4680"/>
          </w:tcPr>
          <w:p>
            <w:r>
              <w:rPr>
                <w:rFonts w:ascii="Times New Roman" w:hAnsi="Times New Roman"/>
                <w:sz w:val="20"/>
              </w:rPr>
            </w:r>
          </w:p>
        </w:tc>
        <w:tc>
          <w:tcPr>
            <w:tcW w:type="dxa" w:w="4680"/>
          </w:tcPr>
          <w:p>
            <w:r>
              <w:rPr>
                <w:rFonts w:ascii="Times New Roman" w:hAnsi="Times New Roman"/>
                <w:sz w:val="20"/>
              </w:rPr>
              <w:t>)</w:t>
            </w:r>
          </w:p>
        </w:tc>
      </w:tr>
      <w:tr>
        <w:tc>
          <w:tcPr>
            <w:tcW w:type="dxa" w:w="4680"/>
          </w:tcPr>
          <w:p>
            <w:r>
              <w:rPr>
                <w:rFonts w:ascii="Times New Roman" w:hAnsi="Times New Roman"/>
                <w:sz w:val="20"/>
              </w:rPr>
              <w:t>Respondent.</w:t>
            </w:r>
          </w:p>
        </w:tc>
        <w:tc>
          <w:tcPr>
            <w:tcW w:type="dxa" w:w="4680"/>
          </w:tcPr>
          <w:p>
            <w:r>
              <w:rPr>
                <w:rFonts w:ascii="Times New Roman" w:hAnsi="Times New Roman"/>
                <w:sz w:val="20"/>
              </w:rPr>
              <w:t>)</w:t>
            </w:r>
          </w:p>
        </w:tc>
      </w:tr>
    </w:tbl>
    <w:p/>
    <w:p>
      <w:pPr>
        <w:pStyle w:val="Heading2"/>
      </w:pPr>
      <w:r>
        <w:t>PETITION</w:t>
      </w:r>
    </w:p>
    <w:p>
      <w:r>
        <w:rPr>
          <w:rFonts w:ascii="Times New Roman" w:hAnsi="Times New Roman"/>
          <w:sz w:val="24"/>
        </w:rPr>
        <w:t>Petitioner Salim's Silver Star Auto, Inc., a Colorado corporation, by and through undersigned counsel and pursuant to Internal Revenue Code section 6213(a) and Tax Court Rule 34, hereby petitions for a redetermination of the deficiencies and additions to tax determined by the Commissioner of Internal Revenue in the Notice of Deficiency dated [DATE TO BE INSERTED UPON RECEIPT], a copy of which is attached as Exhibit A, and in support thereof alleges as follows.</w:t>
      </w:r>
    </w:p>
    <w:p>
      <w:pPr>
        <w:pStyle w:val="Heading3"/>
      </w:pPr>
      <w:r>
        <w:t>1. The Petitioner</w:t>
      </w:r>
    </w:p>
    <w:p>
      <w:r>
        <w:rPr>
          <w:rFonts w:ascii="Times New Roman" w:hAnsi="Times New Roman"/>
          <w:sz w:val="24"/>
        </w:rPr>
        <w:t>Petitioner Salim's Silver Star Auto, Inc., is a corporation duly organized and existing under the laws of the State of Colorado, with its principal place of business and registered office at 1034 South Tejon Street, Colorado Springs, Colorado 80903. Petitioner's Employer Identification Number is 84-1453793. Petitioner filed Form 1120 U.S. Corporation Income Tax Return for each of the tax years at issue with the Internal Revenue Service Center designated by law and regulation.</w:t>
      </w:r>
    </w:p>
    <w:p>
      <w:pPr>
        <w:pStyle w:val="Heading3"/>
      </w:pPr>
      <w:r>
        <w:t>2. The Notice of Deficiency</w:t>
      </w:r>
    </w:p>
    <w:p>
      <w:r>
        <w:rPr>
          <w:rFonts w:ascii="Times New Roman" w:hAnsi="Times New Roman"/>
          <w:sz w:val="24"/>
        </w:rPr>
        <w:t>The Commissioner mailed a Notice of Deficiency to Petitioner on [DATE], a copy of which is attached as Exhibit A and incorporated herein by reference. The Notice of Deficiency was mailed to Petitioner's last known address as required by Internal Revenue Code section 6212(b). This Petition is filed within the ninety-day period required by Internal Revenue Code section 6213(a).</w:t>
      </w:r>
    </w:p>
    <w:p>
      <w:pPr>
        <w:pStyle w:val="Heading3"/>
      </w:pPr>
      <w:r>
        <w:t>3. The Determinations Set Forth in the Notice of Deficiency</w:t>
      </w:r>
    </w:p>
    <w:p>
      <w:r>
        <w:rPr>
          <w:rFonts w:ascii="Times New Roman" w:hAnsi="Times New Roman"/>
          <w:sz w:val="24"/>
        </w:rPr>
        <w:t>The Notice of Deficiency determines the following deficiencies in tax and additions to tax for the tax years specified.</w:t>
      </w:r>
    </w:p>
    <w:tbl>
      <w:tblPr>
        <w:tblStyle w:val="TableGrid"/>
        <w:tblW w:type="auto" w:w="0"/>
        <w:tblLook w:firstColumn="1" w:firstRow="1" w:lastColumn="0" w:lastRow="0" w:noHBand="0" w:noVBand="1" w:val="04A0"/>
      </w:tblPr>
      <w:tblGrid>
        <w:gridCol w:w="3120"/>
        <w:gridCol w:w="3120"/>
        <w:gridCol w:w="3120"/>
      </w:tblGrid>
      <w:tr>
        <w:tc>
          <w:tcPr>
            <w:tcW w:type="dxa" w:w="3120"/>
          </w:tcPr>
          <w:p>
            <w:r>
              <w:rPr>
                <w:rFonts w:ascii="Times New Roman" w:hAnsi="Times New Roman"/>
                <w:sz w:val="20"/>
              </w:rPr>
              <w:t>Tax Year</w:t>
            </w:r>
          </w:p>
        </w:tc>
        <w:tc>
          <w:tcPr>
            <w:tcW w:type="dxa" w:w="3120"/>
          </w:tcPr>
          <w:p>
            <w:r>
              <w:rPr>
                <w:rFonts w:ascii="Times New Roman" w:hAnsi="Times New Roman"/>
                <w:sz w:val="20"/>
              </w:rPr>
              <w:t>Tax Deficiency</w:t>
            </w:r>
          </w:p>
        </w:tc>
        <w:tc>
          <w:tcPr>
            <w:tcW w:type="dxa" w:w="3120"/>
          </w:tcPr>
          <w:p>
            <w:r>
              <w:rPr>
                <w:rFonts w:ascii="Times New Roman" w:hAnsi="Times New Roman"/>
                <w:sz w:val="20"/>
              </w:rPr>
              <w:t>§6663 Civil Fraud Penalty</w:t>
            </w:r>
          </w:p>
        </w:tc>
      </w:tr>
      <w:tr>
        <w:tc>
          <w:tcPr>
            <w:tcW w:type="dxa" w:w="3120"/>
          </w:tcPr>
          <w:p>
            <w:r>
              <w:rPr>
                <w:rFonts w:ascii="Times New Roman" w:hAnsi="Times New Roman"/>
                <w:sz w:val="20"/>
              </w:rPr>
              <w:t>2020</w:t>
            </w:r>
          </w:p>
        </w:tc>
        <w:tc>
          <w:tcPr>
            <w:tcW w:type="dxa" w:w="3120"/>
          </w:tcPr>
          <w:p>
            <w:r>
              <w:rPr>
                <w:rFonts w:ascii="Times New Roman" w:hAnsi="Times New Roman"/>
                <w:sz w:val="20"/>
              </w:rPr>
              <w:t>$98,783.00</w:t>
            </w:r>
          </w:p>
        </w:tc>
        <w:tc>
          <w:tcPr>
            <w:tcW w:type="dxa" w:w="3120"/>
          </w:tcPr>
          <w:p>
            <w:r>
              <w:rPr>
                <w:rFonts w:ascii="Times New Roman" w:hAnsi="Times New Roman"/>
                <w:sz w:val="20"/>
              </w:rPr>
              <w:t>$74,087.25</w:t>
            </w:r>
          </w:p>
        </w:tc>
      </w:tr>
      <w:tr>
        <w:tc>
          <w:tcPr>
            <w:tcW w:type="dxa" w:w="3120"/>
          </w:tcPr>
          <w:p>
            <w:r>
              <w:rPr>
                <w:rFonts w:ascii="Times New Roman" w:hAnsi="Times New Roman"/>
                <w:sz w:val="20"/>
              </w:rPr>
              <w:t>2021</w:t>
            </w:r>
          </w:p>
        </w:tc>
        <w:tc>
          <w:tcPr>
            <w:tcW w:type="dxa" w:w="3120"/>
          </w:tcPr>
          <w:p>
            <w:r>
              <w:rPr>
                <w:rFonts w:ascii="Times New Roman" w:hAnsi="Times New Roman"/>
                <w:sz w:val="20"/>
              </w:rPr>
              <w:t>$129,738.00</w:t>
            </w:r>
          </w:p>
        </w:tc>
        <w:tc>
          <w:tcPr>
            <w:tcW w:type="dxa" w:w="3120"/>
          </w:tcPr>
          <w:p>
            <w:r>
              <w:rPr>
                <w:rFonts w:ascii="Times New Roman" w:hAnsi="Times New Roman"/>
                <w:sz w:val="20"/>
              </w:rPr>
              <w:t>$97,303.50</w:t>
            </w:r>
          </w:p>
        </w:tc>
      </w:tr>
      <w:tr>
        <w:tc>
          <w:tcPr>
            <w:tcW w:type="dxa" w:w="3120"/>
          </w:tcPr>
          <w:p>
            <w:r>
              <w:rPr>
                <w:rFonts w:ascii="Times New Roman" w:hAnsi="Times New Roman"/>
                <w:sz w:val="20"/>
              </w:rPr>
              <w:t>2022</w:t>
            </w:r>
          </w:p>
        </w:tc>
        <w:tc>
          <w:tcPr>
            <w:tcW w:type="dxa" w:w="3120"/>
          </w:tcPr>
          <w:p>
            <w:r>
              <w:rPr>
                <w:rFonts w:ascii="Times New Roman" w:hAnsi="Times New Roman"/>
                <w:sz w:val="20"/>
              </w:rPr>
              <w:t>$117,712.00</w:t>
            </w:r>
          </w:p>
        </w:tc>
        <w:tc>
          <w:tcPr>
            <w:tcW w:type="dxa" w:w="3120"/>
          </w:tcPr>
          <w:p>
            <w:r>
              <w:rPr>
                <w:rFonts w:ascii="Times New Roman" w:hAnsi="Times New Roman"/>
                <w:sz w:val="20"/>
              </w:rPr>
              <w:t>$88,284.00</w:t>
            </w:r>
          </w:p>
        </w:tc>
      </w:tr>
      <w:tr>
        <w:tc>
          <w:tcPr>
            <w:tcW w:type="dxa" w:w="3120"/>
          </w:tcPr>
          <w:p>
            <w:r>
              <w:rPr>
                <w:rFonts w:ascii="Times New Roman" w:hAnsi="Times New Roman"/>
                <w:sz w:val="20"/>
              </w:rPr>
              <w:t>2023</w:t>
            </w:r>
          </w:p>
        </w:tc>
        <w:tc>
          <w:tcPr>
            <w:tcW w:type="dxa" w:w="3120"/>
          </w:tcPr>
          <w:p>
            <w:r>
              <w:rPr>
                <w:rFonts w:ascii="Times New Roman" w:hAnsi="Times New Roman"/>
                <w:sz w:val="20"/>
              </w:rPr>
              <w:t>$77,942.00</w:t>
            </w:r>
          </w:p>
        </w:tc>
        <w:tc>
          <w:tcPr>
            <w:tcW w:type="dxa" w:w="3120"/>
          </w:tcPr>
          <w:p>
            <w:r>
              <w:rPr>
                <w:rFonts w:ascii="Times New Roman" w:hAnsi="Times New Roman"/>
                <w:sz w:val="20"/>
              </w:rPr>
              <w:t>$58,456.50</w:t>
            </w:r>
          </w:p>
        </w:tc>
      </w:tr>
    </w:tbl>
    <w:p/>
    <w:p>
      <w:r>
        <w:rPr>
          <w:rFonts w:ascii="Times New Roman" w:hAnsi="Times New Roman"/>
          <w:sz w:val="24"/>
        </w:rPr>
        <w:t>Petitioner disputes the entire amount of each deficiency and each civil fraud penalty determined in the Notice of Deficiency.</w:t>
      </w:r>
    </w:p>
    <w:p>
      <w:pPr>
        <w:pStyle w:val="Heading3"/>
      </w:pPr>
      <w:r>
        <w:t>4. Assignments of Error</w:t>
      </w:r>
    </w:p>
    <w:p>
      <w:r>
        <w:rPr>
          <w:rFonts w:ascii="Times New Roman" w:hAnsi="Times New Roman"/>
          <w:sz w:val="24"/>
        </w:rPr>
        <w:t>Petitioner assigns the following errors in the Notice of Deficiency.</w:t>
      </w:r>
    </w:p>
    <w:p>
      <w:pPr>
        <w:pStyle w:val="ListNumber"/>
      </w:pPr>
      <w:r>
        <w:t>The Commissioner erred in determining a deficiency in tax for each of tax years 2020, 2021, 2022, and 2023.</w:t>
      </w:r>
    </w:p>
    <w:p>
      <w:pPr>
        <w:pStyle w:val="ListNumber"/>
      </w:pPr>
      <w:r>
        <w:t>The Commissioner erred in determining the section 6663 civil fraud penalty for each of tax years 2020, 2021, 2022, and 2023. The Commissioner has not met and cannot meet the burden of proving fraud by clear and convincing evidence under Internal Revenue Code section 7454(a) and Tax Court Rule 142(b).</w:t>
      </w:r>
    </w:p>
    <w:p>
      <w:pPr>
        <w:pStyle w:val="ListNumber"/>
      </w:pPr>
      <w:r>
        <w:t>The Commissioner erred in failing to comply with the written supervisory approval requirement of Internal Revenue Code section 6751(b)(1) with respect to the section 6663 civil fraud penalty for each year under examination.</w:t>
      </w:r>
    </w:p>
    <w:p>
      <w:pPr>
        <w:pStyle w:val="ListNumber"/>
      </w:pPr>
      <w:r>
        <w:t>The Commissioner erred in determining that the three-year statute of limitations under Internal Revenue Code section 6501(a) does not bar assessment for tax years 2020 and 2021. The unlimited limitations period of section 6501(c)(1) is unavailable because the Commissioner cannot establish fraud by clear and convincing evidence. The six-year limitations period of section 6501(e)(1)(A) is unavailable because the alleged omission does not exceed twenty-five percent of reported gross income. No Form 872 Consent to Extend the Time to Assess Tax has been executed by Petitioner for any year at issue.</w:t>
      </w:r>
    </w:p>
    <w:p>
      <w:pPr>
        <w:pStyle w:val="ListNumber"/>
      </w:pPr>
      <w:r>
        <w:t>The Commissioner erred in disallowing cost of labor in the approximate amount of two hundred thirty-four thousand ten dollars for tax year 2023 and in corresponding amounts for tax years 2020, 2021, and 2022. The labor costs were actually incurred and are deductible as ordinary and necessary business expenses under Internal Revenue Code section 162(a). To the extent records are incomplete, the Cohan rule of Cohan v. Commissioner, 39 F.2d 540 (2d Cir. 1930), authorizes estimation.</w:t>
      </w:r>
    </w:p>
    <w:p>
      <w:pPr>
        <w:pStyle w:val="ListNumber"/>
      </w:pPr>
      <w:r>
        <w:t>The Commissioner erred in adding gross receipts in the approximate amount of one hundred twenty-six thousand two hundred seventy-seven dollars for tax year 2023 and in corresponding amounts for tax years 2020, 2021, and 2022. The reconstruction by indirect method fails to satisfy the procedural prerequisites of Holland v. United States, 348 U.S. 121 (1954), and DiLeo v. Commissioner, 96 T.C. 858 (1991).</w:t>
      </w:r>
    </w:p>
    <w:p>
      <w:pPr>
        <w:pStyle w:val="ListNumber"/>
      </w:pPr>
      <w:r>
        <w:t>The Commissioner erred in disallowing other auto deductions in the amount of five thousand one hundred eighty-three dollars for tax year 2023 and in corresponding amounts for other tax years.</w:t>
      </w:r>
    </w:p>
    <w:p>
      <w:pPr>
        <w:pStyle w:val="ListNumber"/>
      </w:pPr>
      <w:r>
        <w:t>The Commissioner erred in disallowing employee benefit programs in the amount of five thousand five hundred forty-one dollars for tax year 2023 and in corresponding amounts for other tax years.</w:t>
      </w:r>
    </w:p>
    <w:p>
      <w:pPr>
        <w:pStyle w:val="ListNumber"/>
      </w:pPr>
      <w:r>
        <w:t>The Commissioner erred in failing to consider Petitioner's reasonable cause and good faith defense under Internal Revenue Code section 6664(c).</w:t>
      </w:r>
    </w:p>
    <w:p>
      <w:pPr>
        <w:pStyle w:val="ListNumber"/>
      </w:pPr>
      <w:r>
        <w:t>The Commissioner erred to the extent the Notice of Deficiency relies on Treasury Regulation section 301.6751(b)-1 or any other regulation that is invalid under the Administrative Procedure Act or under Loper Bright Enterprises v. Raimondo, 144 S. Ct. 2244 (2024).</w:t>
      </w:r>
    </w:p>
    <w:p>
      <w:pPr>
        <w:pStyle w:val="Heading3"/>
      </w:pPr>
      <w:r>
        <w:t>5. Facts Supporting the Assignments of Error</w:t>
      </w:r>
    </w:p>
    <w:p>
      <w:r>
        <w:rPr>
          <w:rFonts w:ascii="Times New Roman" w:hAnsi="Times New Roman"/>
          <w:sz w:val="24"/>
        </w:rPr>
        <w:t>Petitioner alleges the following facts in support of the assignments of error above.</w:t>
      </w:r>
    </w:p>
    <w:p>
      <w:r>
        <w:rPr>
          <w:rFonts w:ascii="Times New Roman" w:hAnsi="Times New Roman"/>
          <w:sz w:val="24"/>
        </w:rPr>
        <w:t>(a) Petitioner is a small general automotive repair business operated by Salim Mansour, its sole shareholder and corporate officer. The business performs vehicle repair and maintenance services for retail customers in the Colorado Springs metropolitan area. The business employs mechanics and support staff. The business maintains records appropriate to the size and nature of its operations, including bank statements, repair orders, parts invoices, customer payment records, and tax returns prepared by a tax return professional.</w:t>
      </w:r>
    </w:p>
    <w:p>
      <w:r>
        <w:rPr>
          <w:rFonts w:ascii="Times New Roman" w:hAnsi="Times New Roman"/>
          <w:sz w:val="24"/>
        </w:rPr>
        <w:t>(b) During each of the tax years at issue, Petitioner reported gross receipts, claimed cost of goods sold including labor and parts, claimed ordinary and necessary business expenses including auto deductions and employee benefits, and paid all federal income tax it determined to be due.</w:t>
      </w:r>
    </w:p>
    <w:p>
      <w:r>
        <w:rPr>
          <w:rFonts w:ascii="Times New Roman" w:hAnsi="Times New Roman"/>
          <w:sz w:val="24"/>
        </w:rPr>
        <w:t>(c) The Commissioner's reconstruction of Petitioner's gross receipts by indirect method is defective in multiple material respects and produces results inconsistent with industry economics and with the reality of Petitioner's operations.</w:t>
      </w:r>
    </w:p>
    <w:p>
      <w:r>
        <w:rPr>
          <w:rFonts w:ascii="Times New Roman" w:hAnsi="Times New Roman"/>
          <w:sz w:val="24"/>
        </w:rPr>
        <w:t>(d) The Commissioner's complete disallowance of Petitioner's cost of labor produces a gross profit margin that no auto repair business operates at and is economically implausible.</w:t>
      </w:r>
    </w:p>
    <w:p>
      <w:r>
        <w:rPr>
          <w:rFonts w:ascii="Times New Roman" w:hAnsi="Times New Roman"/>
          <w:sz w:val="24"/>
        </w:rPr>
        <w:t>(e) Petitioner did not intend to evade any tax owed. Petitioner relied in good faith on the assistance of a tax return preparer. Petitioner cooperated fully with the examination. Petitioner did not conceal any asset, file any false document, or engage in any affirmative act of evasion.</w:t>
      </w:r>
    </w:p>
    <w:p>
      <w:r>
        <w:rPr>
          <w:rFonts w:ascii="Times New Roman" w:hAnsi="Times New Roman"/>
          <w:sz w:val="24"/>
        </w:rPr>
        <w:t>(f) The Commissioner failed to obtain timely written supervisory approval of the section 6663 civil fraud penalty as required by Internal Revenue Code section 6751(b)(1).</w:t>
      </w:r>
    </w:p>
    <w:p>
      <w:r>
        <w:rPr>
          <w:rFonts w:ascii="Times New Roman" w:hAnsi="Times New Roman"/>
          <w:sz w:val="24"/>
        </w:rPr>
        <w:t>(g) Tax years 2020 and 2021 are barred from assessment by the three-year statute of limitations of Internal Revenue Code section 6501(a). No exception to the three-year limitations period applies.</w:t>
      </w:r>
    </w:p>
    <w:p>
      <w:pPr>
        <w:pStyle w:val="Heading3"/>
      </w:pPr>
      <w:r>
        <w:t>6. Place of Trial</w:t>
      </w:r>
    </w:p>
    <w:p>
      <w:r>
        <w:rPr>
          <w:rFonts w:ascii="Times New Roman" w:hAnsi="Times New Roman"/>
          <w:sz w:val="24"/>
        </w:rPr>
        <w:t>Pursuant to Tax Court Rule 140, Petitioner requests that the place of trial be Denver, Colorado.</w:t>
      </w:r>
    </w:p>
    <w:p>
      <w:pPr>
        <w:pStyle w:val="Heading3"/>
      </w:pPr>
      <w:r>
        <w:t>7. Relief Requested</w:t>
      </w:r>
    </w:p>
    <w:p>
      <w:r>
        <w:rPr>
          <w:rFonts w:ascii="Times New Roman" w:hAnsi="Times New Roman"/>
          <w:sz w:val="24"/>
        </w:rPr>
        <w:t>WHEREFORE, Petitioner respectfully prays that this Honorable Court redetermine the deficiencies in tax and the additions to tax determined by the Commissioner, find and decree that there are no deficiencies in tax and no additions to tax due from Petitioner for the tax years at issue, award Petitioner its reasonable administrative and litigation costs under Internal Revenue Code section 7430, and grant such other and further relief as the Court may deem just and proper.</w:t>
      </w:r>
    </w:p>
    <w:p>
      <w:r>
        <w:rPr>
          <w:rFonts w:ascii="Times New Roman" w:hAnsi="Times New Roman"/>
          <w:i/>
          <w:sz w:val="24"/>
        </w:rPr>
        <w:t>Respectfully submitted,</w:t>
      </w:r>
    </w:p>
    <w:p>
      <w:r>
        <w:rPr>
          <w:rFonts w:ascii="Times New Roman" w:hAnsi="Times New Roman"/>
          <w:sz w:val="24"/>
        </w:rPr>
        <w:t>_______________________________</w:t>
      </w:r>
    </w:p>
    <w:p>
      <w:r>
        <w:rPr>
          <w:rFonts w:ascii="Times New Roman" w:hAnsi="Times New Roman"/>
          <w:i/>
          <w:sz w:val="24"/>
        </w:rPr>
        <w:t>[Counsel name], Tax Court Bar Number [XXXXX]</w:t>
      </w:r>
    </w:p>
    <w:p>
      <w:r>
        <w:rPr>
          <w:rFonts w:ascii="Times New Roman" w:hAnsi="Times New Roman"/>
          <w:i/>
          <w:sz w:val="24"/>
        </w:rPr>
        <w:t>Counsel for Petitioner</w:t>
      </w:r>
    </w:p>
    <w:tbl>
      <w:tblPr>
        <w:tblStyle w:val="TableGrid"/>
        <w:tblW w:type="auto" w:w="0"/>
        <w:tblLook w:firstColumn="1" w:firstRow="1" w:lastColumn="0" w:lastRow="0" w:noHBand="0" w:noVBand="1" w:val="04A0"/>
      </w:tblPr>
      <w:tblGrid>
        <w:gridCol w:w="9360"/>
      </w:tblGrid>
      <w:tr>
        <w:tc>
          <w:tcPr>
            <w:tcW w:type="dxa" w:w="9360"/>
          </w:tcPr>
          <w:p>
            <w:r>
              <w:rPr>
                <w:rFonts w:ascii="Times New Roman" w:hAnsi="Times New Roman"/>
                <w:sz w:val="20"/>
              </w:rPr>
              <w:t>[Telephone]</w:t>
            </w:r>
          </w:p>
        </w:tc>
      </w:tr>
    </w:tbl>
    <w:p/>
    <w:p>
      <w:r>
        <w:rPr>
          <w:rFonts w:ascii="Times New Roman" w:hAnsi="Times New Roman"/>
          <w:sz w:val="24"/>
        </w:rPr>
        <w:t>Date: ___________________</w:t>
      </w:r>
    </w:p>
    <w:p>
      <w:r>
        <w:rPr>
          <w:rFonts w:ascii="Times New Roman" w:hAnsi="Times New Roman"/>
          <w:b/>
          <w:sz w:val="24"/>
        </w:rPr>
        <w:t>Exhibit A: Notice of Deficiency dated [DATE]</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EIN 84-1453793</w:t>
            </w:r>
          </w:p>
        </w:tc>
      </w:tr>
    </w:tbl>
    <w:p/>
    <w:p/>
    <w:p/>
    <w:p>
      <w:r>
        <w:rPr>
          <w:rFonts w:ascii="Times New Roman" w:hAnsi="Times New Roman"/>
          <w:sz w:val="24"/>
        </w:rPr>
        <w:t>Date: May 2026</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Prepared by Genesis AI Legal Intelligence | Reviewed by Carter Hill &amp; Vince Caruso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