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Salim's Silver Star Auto, Inc.</w:t>
      </w:r>
    </w:p>
    <w:p>
      <w:pPr>
        <w:jc w:val="center"/>
      </w:pPr>
      <w:r>
        <w:rPr>
          <w:rFonts w:ascii="Times New Roman" w:hAnsi="Times New Roman"/>
          <w:b/>
          <w:sz w:val="24"/>
        </w:rPr>
        <w:t>1034 S. Tejon Street</w:t>
      </w:r>
    </w:p>
    <w:p>
      <w:pPr>
        <w:jc w:val="center"/>
      </w:pPr>
      <w:r>
        <w:rPr>
          <w:rFonts w:ascii="Times New Roman" w:hAnsi="Times New Roman"/>
          <w:b/>
          <w:sz w:val="24"/>
        </w:rPr>
        <w:t>Colorado Springs, CO 80903</w:t>
      </w:r>
    </w:p>
    <w:p/>
    <w:p>
      <w:pPr>
        <w:pStyle w:val="Heading1"/>
      </w:pPr>
      <w:r>
        <w:t>DAY 7 PUBLIC BENEFIT CORPORATION</w:t>
      </w:r>
    </w:p>
    <w:p>
      <w:r>
        <w:rPr>
          <w:rFonts w:ascii="Times New Roman" w:hAnsi="Times New Roman"/>
          <w:i/>
          <w:sz w:val="24"/>
        </w:rPr>
        <w:t>delivering exceeding value, void of all exploitation — truth in the transaction</w:t>
      </w:r>
    </w:p>
    <w:p>
      <w:r>
        <w:rPr>
          <w:rFonts w:ascii="Times New Roman" w:hAnsi="Times New Roman"/>
          <w:b/>
          <w:sz w:val="24"/>
        </w:rPr>
        <w:t>DOC-05</w:t>
      </w:r>
    </w:p>
    <w:p>
      <w:pPr>
        <w:pStyle w:val="Heading1"/>
      </w:pPr>
      <w:r>
        <w:t>FORMAL WRITTEN PROTEST</w:t>
      </w:r>
    </w:p>
    <w:p>
      <w:pPr>
        <w:pStyle w:val="Heading3"/>
      </w:pPr>
      <w:r>
        <w:t>To the IRS Independent Office of Appeals</w:t>
      </w:r>
    </w:p>
    <w:p>
      <w:r>
        <w:rPr>
          <w:rFonts w:ascii="Times New Roman" w:hAnsi="Times New Roman"/>
          <w:b/>
          <w:sz w:val="24"/>
        </w:rPr>
        <w:t>IN THE MATTER OF</w:t>
      </w:r>
    </w:p>
    <w:p>
      <w:r>
        <w:rPr>
          <w:rFonts w:ascii="Times New Roman" w:hAnsi="Times New Roman"/>
          <w:b/>
          <w:sz w:val="24"/>
        </w:rPr>
        <w:t>SALIM'S SILVER STAR AUTO, INC.</w:t>
      </w:r>
    </w:p>
    <w:p>
      <w:r>
        <w:rPr>
          <w:rFonts w:ascii="Times New Roman" w:hAnsi="Times New Roman"/>
          <w:sz w:val="24"/>
        </w:rPr>
        <w:t>Prepared by Day 7 Public Benefit Corporation</w:t>
      </w:r>
    </w:p>
    <w:p>
      <w:r>
        <w:rPr>
          <w:rFonts w:ascii="Times New Roman" w:hAnsi="Times New Roman"/>
          <w:sz w:val="24"/>
        </w:rPr>
        <w:t>Carter Hill, Chief Executive Officer &amp; Strategic Counsel</w:t>
      </w:r>
    </w:p>
    <w:p>
      <w:r>
        <w:rPr>
          <w:rFonts w:ascii="Times New Roman" w:hAnsi="Times New Roman"/>
          <w:sz w:val="24"/>
        </w:rPr>
        <w:t>May 20, 2026</w:t>
      </w:r>
    </w:p>
    <w:p>
      <w:r>
        <w:rPr>
          <w:rFonts w:ascii="Times New Roman" w:hAnsi="Times New Roman"/>
          <w:b/>
          <w:sz w:val="24"/>
        </w:rPr>
        <w:t>PRIVILEGED &amp; CONFIDENTIAL — ATTORNEY WORK PRODUCT</w:t>
      </w:r>
    </w:p>
    <w:p>
      <w:r>
        <w:rPr>
          <w:rFonts w:ascii="Times New Roman" w:hAnsi="Times New Roman"/>
          <w:b/>
          <w:sz w:val="24"/>
        </w:rPr>
        <w:t>VIA CERTIFIED MAIL, RETURN RECEIPT REQUESTED</w:t>
      </w:r>
    </w:p>
    <w:p>
      <w:r>
        <w:rPr>
          <w:rFonts w:ascii="Times New Roman" w:hAnsi="Times New Roman"/>
          <w:sz w:val="24"/>
        </w:rPr>
        <w:t>May 20, 2026</w:t>
      </w:r>
    </w:p>
    <w:p>
      <w:r>
        <w:rPr>
          <w:rFonts w:ascii="Times New Roman" w:hAnsi="Times New Roman"/>
          <w:sz w:val="24"/>
        </w:rPr>
        <w:t>Internal Revenue Service</w:t>
      </w:r>
    </w:p>
    <w:p>
      <w:r>
        <w:rPr>
          <w:rFonts w:ascii="Times New Roman" w:hAnsi="Times New Roman"/>
          <w:sz w:val="24"/>
        </w:rPr>
        <w:t>Independent Office of Appeals</w:t>
      </w:r>
    </w:p>
    <w:p>
      <w:r>
        <w:rPr>
          <w:rFonts w:ascii="Times New Roman" w:hAnsi="Times New Roman"/>
          <w:sz w:val="24"/>
        </w:rPr>
        <w:t>c/o Examiner Keri L. Frisbie, Group Manager</w:t>
      </w:r>
    </w:p>
    <w:p>
      <w:r>
        <w:rPr>
          <w:rFonts w:ascii="Times New Roman" w:hAnsi="Times New Roman"/>
          <w:sz w:val="24"/>
        </w:rPr>
        <w:t>Small Business and Self-Employed Field Examination</w:t>
      </w:r>
    </w:p>
    <w:p>
      <w:r>
        <w:rPr>
          <w:rFonts w:ascii="Times New Roman" w:hAnsi="Times New Roman"/>
          <w:sz w:val="24"/>
        </w:rPr>
        <w:t>1365 Garden of the Gods Road, Suite 280</w:t>
      </w:r>
    </w:p>
    <w:p>
      <w:r>
        <w:rPr>
          <w:rFonts w:ascii="Times New Roman" w:hAnsi="Times New Roman"/>
          <w:sz w:val="24"/>
        </w:rPr>
        <w:t>Colorado Springs, Colorado 80907</w:t>
      </w:r>
    </w:p>
    <w:p>
      <w:r>
        <w:rPr>
          <w:rFonts w:ascii="Times New Roman" w:hAnsi="Times New Roman"/>
          <w:b/>
          <w:sz w:val="24"/>
        </w:rPr>
        <w:t>RE:  Formal Written Protest and Request for Independent Office of Appeals Consideration</w:t>
      </w:r>
    </w:p>
    <w:p>
      <w:r>
        <w:rPr>
          <w:rFonts w:ascii="Times New Roman" w:hAnsi="Times New Roman"/>
          <w:sz w:val="24"/>
        </w:rPr>
        <w:t>Taxpayer: Salim's Silver Star Auto, Inc.</w:t>
      </w:r>
    </w:p>
    <w:p>
      <w:r>
        <w:rPr>
          <w:rFonts w:ascii="Times New Roman" w:hAnsi="Times New Roman"/>
          <w:sz w:val="24"/>
        </w:rPr>
        <w:t>EIN: 84-1453793</w:t>
      </w:r>
    </w:p>
    <w:p>
      <w:r>
        <w:rPr>
          <w:rFonts w:ascii="Times New Roman" w:hAnsi="Times New Roman"/>
          <w:sz w:val="24"/>
        </w:rPr>
        <w:t>Form 1120, Tax Years 2020, 2021, 2022, 2023</w:t>
      </w:r>
    </w:p>
    <w:p>
      <w:r>
        <w:rPr>
          <w:rFonts w:ascii="Times New Roman" w:hAnsi="Times New Roman"/>
          <w:sz w:val="24"/>
        </w:rPr>
        <w:t>Letter 5153 and Form 4549-A dated May 5, 2026</w:t>
      </w:r>
    </w:p>
    <w:p>
      <w:r>
        <w:rPr>
          <w:rFonts w:ascii="Times New Roman" w:hAnsi="Times New Roman"/>
          <w:sz w:val="24"/>
        </w:rPr>
        <w:t>To the Independent Office of Appeals:</w:t>
      </w:r>
    </w:p>
    <w:p>
      <w:r>
        <w:rPr>
          <w:rFonts w:ascii="Times New Roman" w:hAnsi="Times New Roman"/>
          <w:sz w:val="24"/>
        </w:rPr>
        <w:t>This Formal Written Protest is submitted pursuant to Internal Revenue Code section 7803(e), Publication 5 (Your Appeal Rights and How to Prepare a Protest If You Disagree), Internal Revenue Manual section 8.6.1.6, and Revenue Procedure 2012-18, on behalf of the taxpayer Salim's Silver Star Auto, Inc., a Colorado C corporation. The taxpayer formally requests consideration of this matter by the Independent Office of Appeals prior to the issuance of any Statutory Notice of Deficiency under Internal Revenue Code section 6212.</w:t>
      </w:r>
    </w:p>
    <w:p>
      <w:pPr>
        <w:pStyle w:val="Heading2"/>
      </w:pPr>
      <w:r>
        <w:t>I. Taxpayer Information</w:t>
      </w:r>
    </w:p>
    <w:p>
      <w:r>
        <w:rPr>
          <w:rFonts w:ascii="Times New Roman" w:hAnsi="Times New Roman"/>
          <w:sz w:val="24"/>
        </w:rPr>
        <w:t>Taxpayer name: Salim's Silver Star Auto, Inc.</w:t>
      </w:r>
    </w:p>
    <w:p>
      <w:r>
        <w:rPr>
          <w:rFonts w:ascii="Times New Roman" w:hAnsi="Times New Roman"/>
          <w:sz w:val="24"/>
        </w:rPr>
        <w:t>Employer Identification Number: 84-1453793 (last four digits 3793)</w:t>
      </w:r>
    </w:p>
    <w:p>
      <w:r>
        <w:rPr>
          <w:rFonts w:ascii="Times New Roman" w:hAnsi="Times New Roman"/>
          <w:sz w:val="24"/>
        </w:rPr>
        <w:t>Taxpayer address: 1034 South Tejon Street, Colorado Springs, Colorado 80903</w:t>
      </w:r>
    </w:p>
    <w:p>
      <w:r>
        <w:rPr>
          <w:rFonts w:ascii="Times New Roman" w:hAnsi="Times New Roman"/>
          <w:sz w:val="24"/>
        </w:rPr>
        <w:t>Tax periods at issue: tax years ending December 31, 2020, December 31, 2021, December 31, 2022, and December 31, 2023</w:t>
      </w:r>
    </w:p>
    <w:p>
      <w:r>
        <w:rPr>
          <w:rFonts w:ascii="Times New Roman" w:hAnsi="Times New Roman"/>
          <w:sz w:val="24"/>
        </w:rPr>
        <w:t>Form filed: Form 1120 U.S. Corporation Income Tax Return for each year</w:t>
      </w:r>
    </w:p>
    <w:p>
      <w:r>
        <w:rPr>
          <w:rFonts w:ascii="Times New Roman" w:hAnsi="Times New Roman"/>
          <w:sz w:val="24"/>
        </w:rPr>
        <w:t>Authorized representative: [counsel name], authorized pursuant to Form 2848 Power of Attorney filed contemporaneously with this protest. The Form 2848 covers all four tax years and authorizes representation before the Examination function, the Independent Office of Appeals, the Office of Chief Counsel, and the United States Tax Court.</w:t>
      </w:r>
    </w:p>
    <w:p>
      <w:r>
        <w:rPr>
          <w:rFonts w:ascii="Times New Roman" w:hAnsi="Times New Roman"/>
          <w:sz w:val="24"/>
        </w:rPr>
        <w:t>Communications regarding this protest should be directed exclusively to the undersigned representative at the contact information set forth at the conclusion of this document.</w:t>
      </w:r>
    </w:p>
    <w:p>
      <w:pPr>
        <w:pStyle w:val="Heading2"/>
      </w:pPr>
      <w:r>
        <w:t>II. Statement of Disputed Determination</w:t>
      </w:r>
    </w:p>
    <w:p>
      <w:r>
        <w:rPr>
          <w:rFonts w:ascii="Times New Roman" w:hAnsi="Times New Roman"/>
          <w:sz w:val="24"/>
        </w:rPr>
        <w:t>The taxpayer received a Letter 5153 dated May 5, 2026, transmitting Form 4549-A Report of Income Tax Examination Changes signed by Revenue Agent Keri L. Frisbie of the Colorado Springs Small Business and Self-Employed Field Examination office. The Form 4549-A proposes the following deficiencies and penalties for the tax years specified.</w:t>
      </w:r>
    </w:p>
    <w:tbl>
      <w:tblPr>
        <w:tblStyle w:val="TableGrid"/>
        <w:tblW w:type="auto" w:w="0"/>
        <w:tblLook w:firstColumn="1" w:firstRow="1" w:lastColumn="0" w:lastRow="0" w:noHBand="0" w:noVBand="1" w:val="04A0"/>
      </w:tblPr>
      <w:tblGrid>
        <w:gridCol w:w="3120"/>
        <w:gridCol w:w="3120"/>
        <w:gridCol w:w="3120"/>
      </w:tblGrid>
      <w:tr>
        <w:tc>
          <w:tcPr>
            <w:tcW w:type="dxa" w:w="3120"/>
          </w:tcPr>
          <w:p>
            <w:r>
              <w:rPr>
                <w:rFonts w:ascii="Times New Roman" w:hAnsi="Times New Roman"/>
                <w:sz w:val="20"/>
              </w:rPr>
              <w:t>Tax Year</w:t>
            </w:r>
          </w:p>
        </w:tc>
        <w:tc>
          <w:tcPr>
            <w:tcW w:type="dxa" w:w="3120"/>
          </w:tcPr>
          <w:p>
            <w:r>
              <w:rPr>
                <w:rFonts w:ascii="Times New Roman" w:hAnsi="Times New Roman"/>
                <w:sz w:val="20"/>
              </w:rPr>
              <w:t>Tax Deficiency</w:t>
            </w:r>
          </w:p>
        </w:tc>
        <w:tc>
          <w:tcPr>
            <w:tcW w:type="dxa" w:w="3120"/>
          </w:tcPr>
          <w:p>
            <w:r>
              <w:rPr>
                <w:rFonts w:ascii="Times New Roman" w:hAnsi="Times New Roman"/>
                <w:sz w:val="20"/>
              </w:rPr>
              <w:t>§6663 Civil Fraud Penalty</w:t>
            </w:r>
          </w:p>
        </w:tc>
      </w:tr>
      <w:tr>
        <w:tc>
          <w:tcPr>
            <w:tcW w:type="dxa" w:w="3120"/>
          </w:tcPr>
          <w:p>
            <w:r>
              <w:rPr>
                <w:rFonts w:ascii="Times New Roman" w:hAnsi="Times New Roman"/>
                <w:sz w:val="20"/>
              </w:rPr>
              <w:t>2020</w:t>
            </w:r>
          </w:p>
        </w:tc>
        <w:tc>
          <w:tcPr>
            <w:tcW w:type="dxa" w:w="3120"/>
          </w:tcPr>
          <w:p>
            <w:r>
              <w:rPr>
                <w:rFonts w:ascii="Times New Roman" w:hAnsi="Times New Roman"/>
                <w:sz w:val="20"/>
              </w:rPr>
              <w:t>$98,783.00</w:t>
            </w:r>
          </w:p>
        </w:tc>
        <w:tc>
          <w:tcPr>
            <w:tcW w:type="dxa" w:w="3120"/>
          </w:tcPr>
          <w:p>
            <w:r>
              <w:rPr>
                <w:rFonts w:ascii="Times New Roman" w:hAnsi="Times New Roman"/>
                <w:sz w:val="20"/>
              </w:rPr>
              <w:t>$74,087.25</w:t>
            </w:r>
          </w:p>
        </w:tc>
      </w:tr>
      <w:tr>
        <w:tc>
          <w:tcPr>
            <w:tcW w:type="dxa" w:w="3120"/>
          </w:tcPr>
          <w:p>
            <w:r>
              <w:rPr>
                <w:rFonts w:ascii="Times New Roman" w:hAnsi="Times New Roman"/>
                <w:sz w:val="20"/>
              </w:rPr>
              <w:t>2021</w:t>
            </w:r>
          </w:p>
        </w:tc>
        <w:tc>
          <w:tcPr>
            <w:tcW w:type="dxa" w:w="3120"/>
          </w:tcPr>
          <w:p>
            <w:r>
              <w:rPr>
                <w:rFonts w:ascii="Times New Roman" w:hAnsi="Times New Roman"/>
                <w:sz w:val="20"/>
              </w:rPr>
              <w:t>$129,738.00</w:t>
            </w:r>
          </w:p>
        </w:tc>
        <w:tc>
          <w:tcPr>
            <w:tcW w:type="dxa" w:w="3120"/>
          </w:tcPr>
          <w:p>
            <w:r>
              <w:rPr>
                <w:rFonts w:ascii="Times New Roman" w:hAnsi="Times New Roman"/>
                <w:sz w:val="20"/>
              </w:rPr>
              <w:t>$97,303.50</w:t>
            </w:r>
          </w:p>
        </w:tc>
      </w:tr>
      <w:tr>
        <w:tc>
          <w:tcPr>
            <w:tcW w:type="dxa" w:w="3120"/>
          </w:tcPr>
          <w:p>
            <w:r>
              <w:rPr>
                <w:rFonts w:ascii="Times New Roman" w:hAnsi="Times New Roman"/>
                <w:sz w:val="20"/>
              </w:rPr>
              <w:t>2022</w:t>
            </w:r>
          </w:p>
        </w:tc>
        <w:tc>
          <w:tcPr>
            <w:tcW w:type="dxa" w:w="3120"/>
          </w:tcPr>
          <w:p>
            <w:r>
              <w:rPr>
                <w:rFonts w:ascii="Times New Roman" w:hAnsi="Times New Roman"/>
                <w:sz w:val="20"/>
              </w:rPr>
              <w:t>$117,712.00</w:t>
            </w:r>
          </w:p>
        </w:tc>
        <w:tc>
          <w:tcPr>
            <w:tcW w:type="dxa" w:w="3120"/>
          </w:tcPr>
          <w:p>
            <w:r>
              <w:rPr>
                <w:rFonts w:ascii="Times New Roman" w:hAnsi="Times New Roman"/>
                <w:sz w:val="20"/>
              </w:rPr>
              <w:t>$88,284.00</w:t>
            </w:r>
          </w:p>
        </w:tc>
      </w:tr>
      <w:tr>
        <w:tc>
          <w:tcPr>
            <w:tcW w:type="dxa" w:w="3120"/>
          </w:tcPr>
          <w:p>
            <w:r>
              <w:rPr>
                <w:rFonts w:ascii="Times New Roman" w:hAnsi="Times New Roman"/>
                <w:sz w:val="20"/>
              </w:rPr>
              <w:t>2023</w:t>
            </w:r>
          </w:p>
        </w:tc>
        <w:tc>
          <w:tcPr>
            <w:tcW w:type="dxa" w:w="3120"/>
          </w:tcPr>
          <w:p>
            <w:r>
              <w:rPr>
                <w:rFonts w:ascii="Times New Roman" w:hAnsi="Times New Roman"/>
                <w:sz w:val="20"/>
              </w:rPr>
              <w:t>$77,942.00</w:t>
            </w:r>
          </w:p>
        </w:tc>
        <w:tc>
          <w:tcPr>
            <w:tcW w:type="dxa" w:w="3120"/>
          </w:tcPr>
          <w:p>
            <w:r>
              <w:rPr>
                <w:rFonts w:ascii="Times New Roman" w:hAnsi="Times New Roman"/>
                <w:sz w:val="20"/>
              </w:rPr>
              <w:t>$58,456.50</w:t>
            </w:r>
          </w:p>
        </w:tc>
      </w:tr>
      <w:tr>
        <w:tc>
          <w:tcPr>
            <w:tcW w:type="dxa" w:w="3120"/>
          </w:tcPr>
          <w:p>
            <w:r>
              <w:rPr>
                <w:rFonts w:ascii="Times New Roman" w:hAnsi="Times New Roman"/>
                <w:sz w:val="20"/>
              </w:rPr>
              <w:t>TOTAL</w:t>
            </w:r>
          </w:p>
        </w:tc>
        <w:tc>
          <w:tcPr>
            <w:tcW w:type="dxa" w:w="3120"/>
          </w:tcPr>
          <w:p>
            <w:r>
              <w:rPr>
                <w:rFonts w:ascii="Times New Roman" w:hAnsi="Times New Roman"/>
                <w:sz w:val="20"/>
              </w:rPr>
              <w:t>$424,175.00</w:t>
            </w:r>
          </w:p>
        </w:tc>
        <w:tc>
          <w:tcPr>
            <w:tcW w:type="dxa" w:w="3120"/>
          </w:tcPr>
          <w:p>
            <w:r>
              <w:rPr>
                <w:rFonts w:ascii="Times New Roman" w:hAnsi="Times New Roman"/>
                <w:sz w:val="20"/>
              </w:rPr>
              <w:t>$318,131.25</w:t>
            </w:r>
          </w:p>
        </w:tc>
      </w:tr>
    </w:tbl>
    <w:p/>
    <w:p>
      <w:r>
        <w:rPr>
          <w:rFonts w:ascii="Times New Roman" w:hAnsi="Times New Roman"/>
          <w:sz w:val="24"/>
        </w:rPr>
        <w:t>The taxpayer disputes each and every one of the proposed adjustments and disputes the proposed assertion of the section 6663 civil fraud penalty for every tax year under examination. The taxpayer requests Independent Office of Appeals consideration of every issue.</w:t>
      </w:r>
    </w:p>
    <w:p>
      <w:pPr>
        <w:pStyle w:val="Heading2"/>
      </w:pPr>
      <w:r>
        <w:t>III. Statement Requesting Appeals Consideration</w:t>
      </w:r>
    </w:p>
    <w:p>
      <w:r>
        <w:rPr>
          <w:rFonts w:ascii="Times New Roman" w:hAnsi="Times New Roman"/>
          <w:sz w:val="24"/>
        </w:rPr>
        <w:t>The taxpayer respectfully requests that the Independent Office of Appeals consider this matter under its delegated authority pursuant to Internal Revenue Code section 7803(e), Delegation Order 8-8, and Revenue Procedure 2012-18. The taxpayer acknowledges that the response window stated in Letter 5153 has elapsed. The taxpayer represents and believes, on the basis of authoritative Internal Revenue Manual provisions, that Appeals retains jurisdiction over this matter in its pre-ninety-day-letter posture and will accept the case if so referred. Internal Revenue Manual section 8.2.2 confirms that Appeals may consider unagreed cases that have not yet been docketed in the Tax Court. The taxpayer requests that the Examination function refrain from issuing a Statutory Notice of Deficiency during the pendency of Appeals consideration.</w:t>
      </w:r>
    </w:p>
    <w:p>
      <w:pPr>
        <w:pStyle w:val="Heading2"/>
      </w:pPr>
      <w:r>
        <w:t>IV. Statement of Issues in Dispute</w:t>
      </w:r>
    </w:p>
    <w:p>
      <w:r>
        <w:rPr>
          <w:rFonts w:ascii="Times New Roman" w:hAnsi="Times New Roman"/>
          <w:sz w:val="24"/>
        </w:rPr>
        <w:t>The taxpayer disputes each of the issues identified below. Each issue is the subject of a separate substantive section of this protest.</w:t>
      </w:r>
    </w:p>
    <w:p>
      <w:pPr>
        <w:pStyle w:val="ListNumber"/>
      </w:pPr>
      <w:r>
        <w:t>The assertion of the section 6663 civil fraud penalty for tax years 2020, 2021, 2022, and 2023. The Service has not met and cannot meet its burden of proving fraud by clear and convincing evidence under section 7454(a) and Tax Court Rule 142(b).</w:t>
      </w:r>
    </w:p>
    <w:p>
      <w:pPr>
        <w:pStyle w:val="ListNumber"/>
      </w:pPr>
      <w:r>
        <w:t>The proposed assessments for tax years 2020 and 2021. Each of those tax years is barred from assessment by the three-year statute of limitations under Internal Revenue Code section 6501(a). The unlimited limitations period of section 6501(c)(1) does not apply absent a clear-and-convincing showing of fraud.</w:t>
      </w:r>
    </w:p>
    <w:p>
      <w:pPr>
        <w:pStyle w:val="ListNumber"/>
      </w:pPr>
      <w:r>
        <w:t>The proposed disallowance of cost of labor in the amount of two hundred thirty-four thousand ten dollars for tax year 2023 and corresponding amounts for the other tax years. Labor costs were actually incurred, are deductible as ordinary and necessary business expenses under section 162(a), and to the extent records are incomplete the Cohan rule and industry benchmarks support estimation.</w:t>
      </w:r>
    </w:p>
    <w:p>
      <w:pPr>
        <w:pStyle w:val="ListNumber"/>
      </w:pPr>
      <w:r>
        <w:t>The proposed addition of one hundred twenty-six thousand two hundred seventy-seven dollars of gross receipts for tax year 2023 and corresponding amounts for the other tax years. The Service's bank deposits reconstruction fails to account for nontaxable deposits and fails to satisfy the lead-following and source-negation requirements of Holland v. United States.</w:t>
      </w:r>
    </w:p>
    <w:p>
      <w:pPr>
        <w:pStyle w:val="ListNumber"/>
      </w:pPr>
      <w:r>
        <w:t>The proposed disallowance of five thousand one hundred eighty-three dollars in other auto deductions for tax year 2023 and corresponding amounts for the other tax years.</w:t>
      </w:r>
    </w:p>
    <w:p>
      <w:pPr>
        <w:pStyle w:val="ListNumber"/>
      </w:pPr>
      <w:r>
        <w:t>The proposed disallowance of five thousand five hundred forty-one dollars in employee benefit programs for tax year 2023 and corresponding amounts for the other tax years.</w:t>
      </w:r>
    </w:p>
    <w:p>
      <w:pPr>
        <w:pStyle w:val="ListNumber"/>
      </w:pPr>
      <w:r>
        <w:t>The Service's failure to comply with the written supervisory approval requirement of Internal Revenue Code section 6751(b)(1) with respect to the section 6663 penalty.</w:t>
      </w:r>
    </w:p>
    <w:p>
      <w:pPr>
        <w:pStyle w:val="Heading2"/>
      </w:pPr>
      <w:r>
        <w:t>V. The Section 6663 Civil Fraud Penalty Cannot Be Sustained</w:t>
      </w:r>
    </w:p>
    <w:p>
      <w:pPr>
        <w:pStyle w:val="Heading3"/>
      </w:pPr>
      <w:r>
        <w:t>A. The Governing Standard</w:t>
      </w:r>
    </w:p>
    <w:p>
      <w:r>
        <w:rPr>
          <w:rFonts w:ascii="Times New Roman" w:hAnsi="Times New Roman"/>
          <w:sz w:val="24"/>
        </w:rPr>
        <w:t>Internal Revenue Code section 6663(a) imposes a penalty of seventy-five percent of the portion of any underpayment attributable to fraud. Internal Revenue Code section 7454(a) and Tax Court Rule 142(b) place the burden of proving fraud on the Commissioner and require proof by clear and convincing evidence. The Tax Court has repeatedly described this as a heavy burden. See most recently North Donald LA Property, LLC v. Commissioner, T.C. Memo. 2026-19, in which the Court held that the Commissioner had not met its heavy burden to prove civil fraud by clear and convincing evidence. The clear-and-convincing standard requires evidence that is highly probable or reasonably certain, see Internal Revenue Manual section 25.1.6.2 and Colorado v. New Mexico, 467 U.S. 310, 316 (1984), and is materially more demanding than the preponderance standard that governs ordinary civil tax disputes and the twenty percent accuracy-related penalty under section 6662.</w:t>
      </w:r>
    </w:p>
    <w:p>
      <w:r>
        <w:rPr>
          <w:rFonts w:ascii="Times New Roman" w:hAnsi="Times New Roman"/>
          <w:sz w:val="24"/>
        </w:rPr>
        <w:t>Fraud, for purposes of section 6663, requires two elements. First, the Commissioner must establish an underpayment of tax. Second, the Commissioner must establish that the taxpayer intentionally evaded a tax known to be owed. DiLeo v. Commissioner, 96 T.C. 858, 874 (1991), aff'd, 959 F.2d 16 (2d Cir. 1992); Petzoldt v. Commissioner, 92 T.C. 661, 699 (1989). Fraud is never imputed or presumed; the Commissioner must come forward with affirmative evidence. Petzoldt, 92 T.C. at 699.</w:t>
      </w:r>
    </w:p>
    <w:p>
      <w:pPr>
        <w:pStyle w:val="Heading3"/>
      </w:pPr>
      <w:r>
        <w:t>B. The Badges of Fraud Identified in Bradford</w:t>
      </w:r>
    </w:p>
    <w:p>
      <w:r>
        <w:rPr>
          <w:rFonts w:ascii="Times New Roman" w:hAnsi="Times New Roman"/>
          <w:sz w:val="24"/>
        </w:rPr>
        <w:t>The Tax Court evaluates fraud through the framework of eleven badges identified in Bradford v. Commissioner, 796 F.2d 303, 307-08 (9th Cir. 1986). The badges are understatement of income, inadequate records, failure to file returns, implausible or inconsistent explanations, concealment of assets, failure to cooperate with tax authorities, engaging in illegal activities, attempts to conceal illegal activities, dealing in cash, failure to make estimated tax payments, and filing false documents. No one badge is dispositive; the inquiry is whether the cumulative weight of the badges supports a clear-and-convincing finding of intent to evade. None of the badges supports such a finding here.</w:t>
      </w:r>
    </w:p>
    <w:p>
      <w:r>
        <w:rPr>
          <w:rFonts w:ascii="Times New Roman" w:hAnsi="Times New Roman"/>
          <w:sz w:val="24"/>
        </w:rPr>
        <w:t>The taxpayer did not understate income with intent to evade. Any discrepancy between reported gross receipts and the Service's reconstructed gross receipts is attributable to ordinary recordkeeping imperfections common to small auto-repair businesses, to nontaxable deposits the Service failed to credit, and to legitimate customer deposits that were not income until earned. The taxpayer maintained records appropriate to a small auto-repair business including bank statements, repair orders, parts invoices, and customer payment records. To the extent records are incomplete, that incompleteness reflects industry norms, not concealment. The taxpayer filed every required return on time. The taxpayer offered consistent explanations to the Examiner. The taxpayer did not conceal any asset. The taxpayer cooperated fully with the examination, attended every meeting, and responded to every Information Document Request. The taxpayer did not engage in illegal activity. The taxpayer did not deal in cash beyond what is customary for a service business that performs vehicle repairs for retail customers. The taxpayer did not file false documents.</w:t>
      </w:r>
    </w:p>
    <w:p>
      <w:r>
        <w:rPr>
          <w:rFonts w:ascii="Times New Roman" w:hAnsi="Times New Roman"/>
          <w:sz w:val="24"/>
        </w:rPr>
        <w:t>Recent precedent is particularly instructive. In Alvarado v. Commissioner, T.C. Memo. 2024-1, decided January 3, 2024, the Tax Court considered a used-car dealer whose records were sparse and whose income was reconstructed by the bank deposits method. The Court applied the Cohan rule to allow approximately fifty-five percent of bank withdrawals as cost of goods sold and then held that the resulting smaller underpayment did not support a finding of fraud because the Court could not find clear-and-convincing evidence that the taxpayer believed he owed more tax than he reported. Judge Copeland wrote that the Court could not say it was just as likely that the business had positive net profit as negative net profit and therefore lacked clear and convincing evidence of fraud. The Alvarado holding is on point and dispositive of the fraud question for Salim's Silver Star Auto. In Chernomordikov v. Commissioner, T.C. Memo. 2025-129, decided December 15, 2025, the Tax Court held that the section 6651(f) fraud penalty failed because the Service did not call a critical witness and the taxpayer's lack of sophistication created reasonable doubt about willful intent. In Matthews v. Commissioner, T.C. Memo. 2018-212, the Tax Court declined to sustain the fraud penalty even against a taxpayer with a prior criminal tax-perjury conviction because pro se credibility outweighed any inference of continuing fraud. In Knutsen-Rowell, Inc. v. Commissioner, T.C. Memo. 2011-65, the Tax Court held that the Service had not clearly and convincingly proved fraudulent intent on the part of any petitioner in connection with constructive dividends taken from a C-corporation. The pattern across these cases is consistent and the doctrine is well-developed. The Commissioner regularly fails to meet the clear-and-convincing burden in cash-business cases involving indirect methods of income reconstruction, and the case at hand has every characteristic of the cases in which the Commissioner has failed.</w:t>
      </w:r>
    </w:p>
    <w:p>
      <w:pPr>
        <w:pStyle w:val="Heading3"/>
      </w:pPr>
      <w:r>
        <w:t>C. The Section 6751(b) Procedural Defect</w:t>
      </w:r>
    </w:p>
    <w:p>
      <w:r>
        <w:rPr>
          <w:rFonts w:ascii="Times New Roman" w:hAnsi="Times New Roman"/>
          <w:sz w:val="24"/>
        </w:rPr>
        <w:t>Internal Revenue Code section 6751(b)(1) provides that no penalty shall be assessed unless the initial determination of the assessment is personally approved in writing by the immediate supervisor of the individual making the determination. The Second Circuit in Chai v. Commissioner, 851 F.3d 190, 220-21 (2d Cir. 2017), held that the written supervisory approval must occur no later than the date the Service issues the notice of deficiency or, in the case of a penalty proposed in a thirty-day letter, the date of the thirty-day letter. The Tax Court adopted the Chai analysis in Graev v. Commissioner, 149 T.C. 485 (2017) (Graev III), and applied it specifically to thirty-day letters in Belair Woods, LLC v. Commissioner, 154 T.C. 1, 16 (2020). The Service bears the burden of producing evidence of compliance with section 6751(b) under Internal Revenue Code section 7491(c) and Frost v. Commissioner, 154 T.C. 23 (2020). The taxpayer has demanded production of all Form 11661 Fraud Development Recommendations and all Civil Penalty Approval Forms relating to the section 6663 penalty for each year under examination. If the Service cannot produce a contemporaneous, written, dated, supervisor-signed approval that predates the May 5, 2026 issuance of Letter 5153, the section 6663 penalty fails as a matter of law without any factual fraud analysis ever occurring. See Genecure, LLC v. Commissioner, T.C. Memo. 2022-52 (knocking out the fraud penalty on section 6751(b) grounds despite the Service's production of a Civil Penalty Approval Form). The taxpayer reserves the right to seek summary judgment in the Tax Court on this question under Tax Court Rule 121 should the matter not resolve at Appeals.</w:t>
      </w:r>
    </w:p>
    <w:p>
      <w:pPr>
        <w:pStyle w:val="Heading3"/>
      </w:pPr>
      <w:r>
        <w:t>D. The Reasonable Cause Defense</w:t>
      </w:r>
    </w:p>
    <w:p>
      <w:r>
        <w:rPr>
          <w:rFonts w:ascii="Times New Roman" w:hAnsi="Times New Roman"/>
          <w:sz w:val="24"/>
        </w:rPr>
        <w:t>To the extent any underpayment is found, the taxpayer asserts the reasonable cause and good faith defense of Internal Revenue Code section 6664(c). The taxpayer relied in good faith on the advice and assistance of a tax return preparer in the preparation and filing of each return at issue. The taxpayer made all required records available to the preparer. The taxpayer reviewed each return before signing and had no reason to believe any return was inaccurate. Under United States v. Boyle, 469 U.S. 241 (1985), and Treasury Regulation section 1.6664-4(b)(1), good-faith reliance on a competent tax professional supports the reasonable cause defense to penalties.</w:t>
      </w:r>
    </w:p>
    <w:p>
      <w:pPr>
        <w:pStyle w:val="Heading2"/>
      </w:pPr>
      <w:r>
        <w:t>VI. Tax Years 2020 and 2021 Are Barred by the Statute of Limitations</w:t>
      </w:r>
    </w:p>
    <w:p>
      <w:r>
        <w:rPr>
          <w:rFonts w:ascii="Times New Roman" w:hAnsi="Times New Roman"/>
          <w:sz w:val="24"/>
        </w:rPr>
        <w:t>Internal Revenue Code section 6501(a) provides that the amount of any tax shall be assessed within three years after the return was filed. The Form 1120 for tax year 2020 was filed approximately April 15, 2021, and the three-year period therefore expired approximately April 15, 2024. The Form 1120 for tax year 2021 was filed approximately April 15, 2022, and the three-year period therefore expired approximately April 15, 2025. Both tax years are barred from assessment unless one of the exceptions to the three-year period applies.</w:t>
      </w:r>
    </w:p>
    <w:p>
      <w:r>
        <w:rPr>
          <w:rFonts w:ascii="Times New Roman" w:hAnsi="Times New Roman"/>
          <w:sz w:val="24"/>
        </w:rPr>
        <w:t>The Service relies, implicitly, on the unlimited limitations period of Internal Revenue Code section 6501(c)(1), which applies in the case of a fraudulent return. The Commissioner bears the burden of proving fraud by clear and convincing evidence to invoke section 6501(c)(1). Badaracco v. Commissioner, 464 U.S. 386, 399 (1984); Bufferd v. Commissioner, 506 U.S. 523 (1993). For the reasons set forth in Section V of this protest, the Commissioner cannot meet that burden. The six-year limitations period for substantial omission under section 6501(e)(1)(A) likewise does not apply because the alleged omission of one hundred twenty-six thousand two hundred seventy-seven dollars in gross receipts for tax year 2023, against corrected gross receipts of approximately six hundred sixty-three thousand dollars, is less than the twenty-five percent threshold required to invoke the six-year period. Comparable calculations apply to the other tax years. The taxpayer has not executed any Form 872 Consent to Extend the Time to Assess Tax for any year and will not do so. The statute of limitations therefore bars assessment for tax years 2020 and 2021 entirely.</w:t>
      </w:r>
    </w:p>
    <w:p>
      <w:pPr>
        <w:pStyle w:val="Heading2"/>
      </w:pPr>
      <w:r>
        <w:t>VII. The Cost of Labor Disallowance Is Erroneous</w:t>
      </w:r>
    </w:p>
    <w:p>
      <w:r>
        <w:rPr>
          <w:rFonts w:ascii="Times New Roman" w:hAnsi="Times New Roman"/>
          <w:sz w:val="24"/>
        </w:rPr>
        <w:t>The Service has disallowed two hundred thirty-four thousand ten dollars in cost of labor for tax year 2023 and corresponding amounts for prior years. The disallowance is erroneous. Internal Revenue Code section 162(a) authorizes the deduction of all ordinary and necessary expenses paid or incurred in carrying on a trade or business. Labor costs paid to mechanics and other workers are quintessential ordinary and necessary expenses for an auto repair shop. The taxpayer paid labor costs in the amounts deducted. To the extent any portion of those labor costs is not fully substantiated by formal payroll records, the Cohan rule of Cohan v. Commissioner, 39 F.2d 540 (2d Cir. 1930), authorizes the Tax Court to estimate deductions when records are inadequate, provided the taxpayer establishes a rational basis for the estimate. Vanicek v. Commissioner, 85 T.C. 731, 743 (1985).</w:t>
      </w:r>
    </w:p>
    <w:p>
      <w:r>
        <w:rPr>
          <w:rFonts w:ascii="Times New Roman" w:hAnsi="Times New Roman"/>
          <w:sz w:val="24"/>
        </w:rPr>
        <w:t>The taxpayer's labor costs are within the industry norm for general automotive repair businesses classified under North American Industry Classification System code 811111. According to IBISWorld industry research for the auto repair sector, labor costs typically represent approximately twenty-seven percent of revenue, and the combined cost of labor and parts typically represents approximately fifty-five to sixty percent of revenue. Cost of goods sold for an auto repair business operating with bays, lifts, mechanics, and parts inventory typically ranges from forty-five to sixty percent of revenue depending on the mix of services performed. The taxpayer's claimed labor cost is consistent with these benchmarks and would have produced a gross profit margin within normal ranges for the industry. The Service's complete disallowance of labor cost, by contrast, would imply gross profit margins that no auto repair shop could plausibly achieve. The Tax Court has applied the Cohan rule to support partial allowance of labor costs and cost of goods sold in directly analogous cases. See Villa v. Commissioner, T.C. Memo. 2023-155 (allowing fifty percent of less-cash withdrawals as cost of goods sold for a construction subcontractor); Arizago v. Commissioner, T.C. Memo. 2016-57 (allowing estimated wages and cost of goods sold for a restaurant despite absence of formal records); Alvarado v. Commissioner, T.C. Memo. 2024-1 (allowing approximately fifty-five percent cost of goods sold for a used-car dealer).</w:t>
      </w:r>
    </w:p>
    <w:p>
      <w:pPr>
        <w:pStyle w:val="Heading2"/>
      </w:pPr>
      <w:r>
        <w:t>VIII. The Bank Deposits Reconstruction of Gross Receipts Is Defective</w:t>
      </w:r>
    </w:p>
    <w:p>
      <w:r>
        <w:rPr>
          <w:rFonts w:ascii="Times New Roman" w:hAnsi="Times New Roman"/>
          <w:sz w:val="24"/>
        </w:rPr>
        <w:t>The Service has added one hundred twenty-six thousand two hundred seventy-seven dollars in gross receipts for tax year 2023 and corresponding amounts for other tax years. The addition appears to be based on a bank deposits method reconstruction. The Supreme Court in Holland v. United States, 348 U.S. 121 (1954), and United States v. Massei, 355 U.S. 595 (1958), established the procedural prerequisites for any indirect method of income reconstruction. The Service must establish an opening cash position with reasonable certainty, must negate non-taxable sources of deposits, must follow leads identified by the taxpayer, and must demonstrate either a likely source of taxable income or the negation of all reasonable non-taxable sources. DiLeo v. Commissioner, 96 T.C. 858, 868 (1991), confirms that the bank deposits method assumes all money deposited in a taxpayer's account constitutes taxable income, but the Service must take into account any nontaxable source or deductible expense of which it has knowledge.</w:t>
      </w:r>
    </w:p>
    <w:p>
      <w:r>
        <w:rPr>
          <w:rFonts w:ascii="Times New Roman" w:hAnsi="Times New Roman"/>
          <w:sz w:val="24"/>
        </w:rPr>
        <w:t>The Service's reconstruction in this case appears to have failed each of these prerequisites. The reconstruction does not appear to have credited shareholder loans to the corporation, capital contributions from the sole shareholder to the corporation, customer deposits for parts not yet received and labor not yet performed, transfers between corporate accounts, refunds from suppliers, insurance recoveries, or other nontaxable sources of deposits. The reconstruction also appears not to have addressed potential double-counting between bank deposits and Form 1099-K merchant card reporting under Internal Revenue Code section 6050W. The taxpayer is prepared to demonstrate, through forensic reconstruction by a qualified accountant operating under a Kovel engagement, that a properly constructed bank deposits analysis credits substantial nontaxable deposits and reduces the proposed unreported income adjustment substantially or in its entirety.</w:t>
      </w:r>
    </w:p>
    <w:p>
      <w:pPr>
        <w:pStyle w:val="Heading2"/>
      </w:pPr>
      <w:r>
        <w:t>IX. The Auto Deduction and Employee Benefit Disallowances Are Erroneous</w:t>
      </w:r>
    </w:p>
    <w:p>
      <w:r>
        <w:rPr>
          <w:rFonts w:ascii="Times New Roman" w:hAnsi="Times New Roman"/>
          <w:sz w:val="24"/>
        </w:rPr>
        <w:t>The Service has disallowed five thousand one hundred eighty-three dollars in auto deductions and five thousand five hundred forty-one dollars in employee benefit programs for tax year 2023. As to the auto deductions, the corporation maintained vehicles used in the conduct of the business for parts pickup, customer service, and emergency response. Internal Revenue Code section 162(a) authorizes the deduction of ordinary and necessary business expenses including vehicle expenses. The strict substantiation requirements of section 274(d) apply to listed property under section 280F including passenger vehicles, but a vehicle owned by the corporation and used exclusively for business purposes may be deducted based on the corporation's records of actual expenses without contemporaneous mileage logs to the same extent required for vehicles with personal use. The taxpayer will produce supporting documentation. As to the employee benefit programs, the corporation maintained health insurance coverage for its employees during the years in question and deducted the premiums under Internal Revenue Code section 162(a)(1) and section 106. The taxpayer will produce supporting documentation.</w:t>
      </w:r>
    </w:p>
    <w:p>
      <w:pPr>
        <w:pStyle w:val="Heading2"/>
      </w:pPr>
      <w:r>
        <w:t>X. Conclusion and Statement of Relief Requested</w:t>
      </w:r>
    </w:p>
    <w:p>
      <w:r>
        <w:rPr>
          <w:rFonts w:ascii="Times New Roman" w:hAnsi="Times New Roman"/>
          <w:sz w:val="24"/>
        </w:rPr>
        <w:t>The proposed adjustments and the proposed section 6663 civil fraud penalty cannot be sustained. The Service has not met and cannot meet its clear-and-convincing burden of proving fraud. The statute of limitations bars assessment for tax years 2020 and 2021. The cost of labor disallowance must be reduced or eliminated through application of the Cohan rule and industry benchmarks. The bank deposits reconstruction must be corrected to credit nontaxable deposits as required by Holland v. United States and DiLeo v. Commissioner. The auto deduction and employee benefit disallowances are erroneous. The section 6751(b) supervisory approval requirement may not have been satisfied and the taxpayer reserves the right to challenge the section 6663 penalty on that procedural basis.</w:t>
      </w:r>
    </w:p>
    <w:p>
      <w:r>
        <w:rPr>
          <w:rFonts w:ascii="Times New Roman" w:hAnsi="Times New Roman"/>
          <w:sz w:val="24"/>
        </w:rPr>
        <w:t>The taxpayer respectfully requests that the Independent Office of Appeals (i) consider this matter under its delegated authority, (ii) conduct an in-person Appeals conference at the Denver Appeals office at a mutually convenient time, (iii) reduce the proposed deficiencies to zero or to a settlement amount substantially less than the proposed amounts, (iv) decline to sustain the section 6663 civil fraud penalty for any year under examination, (v) recognize the statute of limitations bar for tax years 2020 and 2021, and (vi) consider hazards-of-litigation settlement of any remaining contested issues.</w:t>
      </w:r>
    </w:p>
    <w:p>
      <w:pPr>
        <w:pStyle w:val="Heading2"/>
      </w:pPr>
      <w:r>
        <w:t>XI. Statement Under Penalty of Perjury</w:t>
      </w:r>
    </w:p>
    <w:p>
      <w:r>
        <w:rPr>
          <w:rFonts w:ascii="Times New Roman" w:hAnsi="Times New Roman"/>
          <w:sz w:val="24"/>
        </w:rPr>
        <w:t>Under penalties of perjury, I declare that I have examined the statement of facts presented in this protest and the accompanying schedules and exhibits, and to the best of my knowledge and belief they are true, correct, and complete.</w:t>
      </w:r>
    </w:p>
    <w:p>
      <w:r>
        <w:rPr>
          <w:rFonts w:ascii="Times New Roman" w:hAnsi="Times New Roman"/>
          <w:sz w:val="24"/>
        </w:rPr>
        <w:t>_______________________________</w:t>
      </w:r>
    </w:p>
    <w:p>
      <w:r>
        <w:rPr>
          <w:rFonts w:ascii="Times New Roman" w:hAnsi="Times New Roman"/>
          <w:i/>
          <w:sz w:val="24"/>
        </w:rPr>
        <w:t>Salim Mansour, Sole Shareholder and Corporate Officer</w:t>
      </w:r>
    </w:p>
    <w:p>
      <w:r>
        <w:rPr>
          <w:rFonts w:ascii="Times New Roman" w:hAnsi="Times New Roman"/>
          <w:i/>
          <w:sz w:val="24"/>
        </w:rPr>
        <w:t>Salim's Silver Star Auto, Inc.</w:t>
      </w:r>
    </w:p>
    <w:p>
      <w:r>
        <w:rPr>
          <w:rFonts w:ascii="Times New Roman" w:hAnsi="Times New Roman"/>
          <w:i/>
          <w:sz w:val="24"/>
        </w:rPr>
        <w:t>Date: _______________</w:t>
      </w:r>
    </w:p>
    <w:p>
      <w:r>
        <w:rPr>
          <w:rFonts w:ascii="Times New Roman" w:hAnsi="Times New Roman"/>
          <w:i/>
          <w:sz w:val="24"/>
        </w:rPr>
        <w:t>PREPARED AND SUBMITTED BY:</w:t>
      </w:r>
    </w:p>
    <w:p>
      <w:r>
        <w:rPr>
          <w:rFonts w:ascii="Times New Roman" w:hAnsi="Times New Roman"/>
          <w:sz w:val="24"/>
        </w:rPr>
        <w:t>_______________________________</w:t>
      </w:r>
    </w:p>
    <w:p>
      <w:r>
        <w:rPr>
          <w:rFonts w:ascii="Times New Roman" w:hAnsi="Times New Roman"/>
          <w:i/>
          <w:sz w:val="24"/>
        </w:rPr>
        <w:t>[Counsel name to be inserted]</w:t>
      </w:r>
    </w:p>
    <w:p>
      <w:r>
        <w:rPr>
          <w:rFonts w:ascii="Times New Roman" w:hAnsi="Times New Roman"/>
          <w:i/>
          <w:sz w:val="24"/>
        </w:rPr>
        <w:t>Authorized Representative pursuant to Form 2848</w:t>
      </w:r>
    </w:p>
    <w:p>
      <w:r>
        <w:rPr>
          <w:rFonts w:ascii="Times New Roman" w:hAnsi="Times New Roman"/>
          <w:i/>
          <w:sz w:val="24"/>
        </w:rPr>
        <w:t>Day 7 Public Benefit Corporation, Strategic Counsel</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EIN 84-1453793</w:t>
            </w:r>
          </w:p>
        </w:tc>
      </w:tr>
    </w:tbl>
    <w:p/>
    <w:p/>
    <w:p/>
    <w:p>
      <w:r>
        <w:rPr>
          <w:rFonts w:ascii="Times New Roman" w:hAnsi="Times New Roman"/>
          <w:sz w:val="24"/>
        </w:rPr>
        <w:t>Date: May 2026</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Prepared by Genesis AI Legal Intelligence | Reviewed by Carter Hill &amp; Vince Caruso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