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DAY 7 PUBLIC BENEFIT CORPORATION</w:t>
      </w:r>
    </w:p>
    <w:p>
      <w:r>
        <w:rPr>
          <w:rFonts w:ascii="Times New Roman" w:hAnsi="Times New Roman"/>
          <w:i/>
          <w:sz w:val="24"/>
        </w:rPr>
        <w:t>delivering exceeding value, void of all exploitation — truth in the transaction</w:t>
      </w:r>
    </w:p>
    <w:p>
      <w:r>
        <w:rPr>
          <w:rFonts w:ascii="Times New Roman" w:hAnsi="Times New Roman"/>
          <w:b/>
          <w:sz w:val="24"/>
        </w:rPr>
        <w:t>DOC-04</w:t>
      </w:r>
    </w:p>
    <w:p>
      <w:pPr>
        <w:pStyle w:val="Heading1"/>
      </w:pPr>
      <w:r>
        <w:t>LITIGATION HOLD MEMORANDUM</w:t>
      </w:r>
    </w:p>
    <w:p>
      <w:pPr>
        <w:pStyle w:val="Heading3"/>
      </w:pPr>
      <w:r>
        <w:t>Mandatory Document Preservation Directive</w:t>
      </w:r>
    </w:p>
    <w:p>
      <w:r>
        <w:rPr>
          <w:rFonts w:ascii="Times New Roman" w:hAnsi="Times New Roman"/>
          <w:b/>
          <w:sz w:val="24"/>
        </w:rPr>
        <w:t>IN THE MATTER OF</w:t>
      </w:r>
    </w:p>
    <w:p>
      <w:r>
        <w:rPr>
          <w:rFonts w:ascii="Times New Roman" w:hAnsi="Times New Roman"/>
          <w:b/>
          <w:sz w:val="24"/>
        </w:rPr>
        <w:t>SALIM'S SILVER STAR AUTO, INC.</w:t>
      </w:r>
    </w:p>
    <w:p>
      <w:r>
        <w:rPr>
          <w:rFonts w:ascii="Times New Roman" w:hAnsi="Times New Roman"/>
          <w:sz w:val="24"/>
        </w:rPr>
        <w:t>Prepared by Day 7 Public Benefit Corporation</w:t>
      </w:r>
    </w:p>
    <w:p>
      <w:r>
        <w:rPr>
          <w:rFonts w:ascii="Times New Roman" w:hAnsi="Times New Roman"/>
          <w:sz w:val="24"/>
        </w:rPr>
        <w:t>Carter Hill, Chief Executive Officer &amp; Strategic Counsel</w:t>
      </w:r>
    </w:p>
    <w:p>
      <w:r>
        <w:rPr>
          <w:rFonts w:ascii="Times New Roman" w:hAnsi="Times New Roman"/>
          <w:sz w:val="24"/>
        </w:rPr>
        <w:t>May 20, 2026</w:t>
      </w:r>
    </w:p>
    <w:p>
      <w:r>
        <w:rPr>
          <w:rFonts w:ascii="Times New Roman" w:hAnsi="Times New Roman"/>
          <w:b/>
          <w:sz w:val="24"/>
        </w:rPr>
        <w:t>PRIVILEGED &amp; CONFIDENTIAL — ATTORNEY WORK PRODUCT</w:t>
      </w:r>
    </w:p>
    <w:p>
      <w:r>
        <w:rPr>
          <w:rFonts w:ascii="Times New Roman" w:hAnsi="Times New Roman"/>
          <w:sz w:val="24"/>
        </w:rPr>
        <w:t>TO: Salim Mansour, Sole Shareholder and Corporate Officer; All Employees, Officers, Vendors, and Agents of Salim's Silver Star Auto, Inc.; All Family Members of Salim Mansour Who May Possess Relevant Records</w:t>
      </w:r>
    </w:p>
    <w:p>
      <w:r>
        <w:rPr>
          <w:rFonts w:ascii="Times New Roman" w:hAnsi="Times New Roman"/>
          <w:sz w:val="24"/>
        </w:rPr>
        <w:t>FROM: Carter Hill, Strategic Counsel, Day 7 Public Benefit Corporation</w:t>
      </w:r>
    </w:p>
    <w:p>
      <w:r>
        <w:rPr>
          <w:rFonts w:ascii="Times New Roman" w:hAnsi="Times New Roman"/>
          <w:sz w:val="24"/>
        </w:rPr>
        <w:t>DATE: May 20, 2026</w:t>
      </w:r>
    </w:p>
    <w:p>
      <w:r>
        <w:rPr>
          <w:rFonts w:ascii="Times New Roman" w:hAnsi="Times New Roman"/>
          <w:sz w:val="24"/>
        </w:rPr>
        <w:t>RE: MANDATORY DOCUMENT PRESERVATION DIRECTIVE — Pending IRS Civil Fraud Examination</w:t>
      </w:r>
    </w:p>
    <w:p>
      <w:r>
        <w:rPr>
          <w:rFonts w:ascii="Times New Roman" w:hAnsi="Times New Roman"/>
          <w:sz w:val="24"/>
        </w:rPr>
        <w:t>CLASSIFICATION: PRIVILEGED &amp; CONFIDENTIAL — ATTORNEY WORK PRODUCT</w:t>
      </w:r>
    </w:p>
    <w:p>
      <w:pPr>
        <w:ind w:left="720"/>
      </w:pPr>
      <w:r>
        <w:rPr>
          <w:rFonts w:ascii="Times New Roman" w:hAnsi="Times New Roman"/>
          <w:i/>
          <w:sz w:val="24"/>
        </w:rPr>
        <w:t>## YOU ARE UNDER A LEGAL OBLIGATION TO PRESERVE DOCUMENTS</w:t>
      </w:r>
    </w:p>
    <w:p>
      <w:r>
        <w:rPr>
          <w:rFonts w:ascii="Times New Roman" w:hAnsi="Times New Roman"/>
          <w:sz w:val="24"/>
        </w:rPr>
        <w:t>&gt;</w:t>
      </w:r>
    </w:p>
    <w:p>
      <w:pPr>
        <w:ind w:left="720"/>
      </w:pPr>
      <w:r>
        <w:rPr>
          <w:rFonts w:ascii="Times New Roman" w:hAnsi="Times New Roman"/>
          <w:i/>
          <w:sz w:val="24"/>
        </w:rPr>
        <w:t>Salim's Silver Star Auto, Inc. is the subject of an active examination by the Internal Revenue Service that has resulted in the assertion of the seventy-five percent civil fraud penalty under Internal Revenue Code section 6663 for tax years 2020 through 2023. The destruction, concealment, alteration, or spoliation of any record relevant to this examination is itself a recognized badge of fraud under Bradford v. Commissioner, 796 F.2d 303 (9th Cir. 1986), and may constitute obstruction of an official proceeding under 18 United States Code section 1519 and obstruction of internal revenue laws under Internal Revenue Code section 7212(a). You are under a binding legal obligation to preserve every record described in this memorandum until such time as you receive written authorization from counsel to release the hold.</w:t>
      </w:r>
    </w:p>
    <w:p>
      <w:pPr>
        <w:pStyle w:val="Heading2"/>
      </w:pPr>
      <w:r>
        <w:t>1. Purpose of This Memorandum</w:t>
      </w:r>
    </w:p>
    <w:p>
      <w:r>
        <w:rPr>
          <w:rFonts w:ascii="Times New Roman" w:hAnsi="Times New Roman"/>
          <w:sz w:val="24"/>
        </w:rPr>
        <w:t>This memorandum imposes a litigation hold on all records relating in any way to the operations, finances, employees, vendors, customers, and tax positions of Salim's Silver Star Auto, Inc. for the period beginning January 1, 2018, and continuing through the date of release of this hold by counsel. The purpose of this hold is twofold. First, the records are necessary to mount an effective defense against the pending civil fraud examination. Second, and equally important, the destruction or alteration of any such record during the pendency of the examination is itself a badge of fraud that will be used against the taxpayer by the Service. Records that may be exculpatory if preserved become inculpatory if destroyed.</w:t>
      </w:r>
    </w:p>
    <w:p>
      <w:pPr>
        <w:pStyle w:val="Heading2"/>
      </w:pPr>
      <w:r>
        <w:t>2. Scope of Records Subject to the Hold</w:t>
      </w:r>
    </w:p>
    <w:p>
      <w:r>
        <w:rPr>
          <w:rFonts w:ascii="Times New Roman" w:hAnsi="Times New Roman"/>
          <w:sz w:val="24"/>
        </w:rPr>
        <w:t>The hold applies to records in any form, whether physical or electronic, including but not limited to paper documents, emails, text messages, photographs, videos, voicemails, social media posts, accounting software entries, bank records, point of sale system records, mobile phone records, and any other tangible or intangible record. The hold applies regardless of where the record is located, including but not limited to office files, home files, vehicles, electronic devices, cloud storage accounts, personal email accounts, and accounts held by family members. The hold applies regardless of whether the record was originally created by the corporation, by Salim Mansour personally, by family members, by employees, by vendors, or by customers.</w:t>
      </w:r>
    </w:p>
    <w:p>
      <w:pPr>
        <w:pStyle w:val="Heading3"/>
      </w:pPr>
      <w:r>
        <w:t>Specific Categories of Records Subject to the Hold</w:t>
      </w:r>
    </w:p>
    <w:p>
      <w:pPr>
        <w:pStyle w:val="ListBullet"/>
      </w:pPr>
      <w:r>
        <w:t>All federal and state tax returns of Salim's Silver Star Auto, Inc. for tax years 2018 through 2025, including all schedules, attachments, and supporting workpapers.</w:t>
      </w:r>
    </w:p>
    <w:p>
      <w:pPr>
        <w:pStyle w:val="ListBullet"/>
      </w:pPr>
      <w:r>
        <w:t>All federal and state tax returns of Salim Mansour personally for tax years 2018 through 2025.</w:t>
      </w:r>
    </w:p>
    <w:p>
      <w:pPr>
        <w:pStyle w:val="ListBullet"/>
      </w:pPr>
      <w:r>
        <w:t>All bank statements, deposit slips, check copies, wire transfer confirmations, ACH records, and other records of every financial institution account held by the corporation or by Salim Mansour personally during the period.</w:t>
      </w:r>
    </w:p>
    <w:p>
      <w:pPr>
        <w:pStyle w:val="ListBullet"/>
      </w:pPr>
      <w:r>
        <w:t>All credit card statements, merchant account records, and payment processor records, including Visa, Mastercard, American Express, Discover, Square, Stripe, PayPal, Venmo, Cash App, Zelle, and any other payment processing platform.</w:t>
      </w:r>
    </w:p>
    <w:p>
      <w:pPr>
        <w:pStyle w:val="ListBullet"/>
      </w:pPr>
      <w:r>
        <w:t>All point of sale system records, repair order records, invoice records, work order records, and customer payment records.</w:t>
      </w:r>
    </w:p>
    <w:p>
      <w:pPr>
        <w:pStyle w:val="ListBullet"/>
      </w:pPr>
      <w:r>
        <w:t>All employee records, including time cards, payroll registers, Forms W-2, Forms W-4, Forms I-9, Forms 941 quarterly employment tax returns, Forms 940 annual federal unemployment tax returns, state unemployment filings, workers compensation filings, and any records relating to cash payments to workers.</w:t>
      </w:r>
    </w:p>
    <w:p>
      <w:pPr>
        <w:pStyle w:val="ListBullet"/>
      </w:pPr>
      <w:r>
        <w:t>All independent contractor records, including Forms 1099-NEC, Forms 1099-MISC, Forms W-9, and engagement documentation.</w:t>
      </w:r>
    </w:p>
    <w:p>
      <w:pPr>
        <w:pStyle w:val="ListBullet"/>
      </w:pPr>
      <w:r>
        <w:t>All vendor records, supplier invoices, parts purchase records, and inventory records.</w:t>
      </w:r>
    </w:p>
    <w:p>
      <w:pPr>
        <w:pStyle w:val="ListBullet"/>
      </w:pPr>
      <w:r>
        <w:t>All lease agreements, real estate records, vehicle title records, and equipment records.</w:t>
      </w:r>
    </w:p>
    <w:p>
      <w:pPr>
        <w:pStyle w:val="ListBullet"/>
      </w:pPr>
      <w:r>
        <w:t>All insurance policies, claims, and correspondence.</w:t>
      </w:r>
    </w:p>
    <w:p>
      <w:pPr>
        <w:pStyle w:val="ListBullet"/>
      </w:pPr>
      <w:r>
        <w:t>All correspondence with the Internal Revenue Service, including all prior examination correspondence, all Notices, all CP series notices, and all communications with Revenue Agent Keri L. Frisbie.</w:t>
      </w:r>
    </w:p>
    <w:p>
      <w:pPr>
        <w:pStyle w:val="ListBullet"/>
      </w:pPr>
      <w:r>
        <w:t>All correspondence with state taxing authorities, including the Colorado Department of Revenue.</w:t>
      </w:r>
    </w:p>
    <w:p>
      <w:pPr>
        <w:pStyle w:val="ListBullet"/>
      </w:pPr>
      <w:r>
        <w:t>All accounting software files, including QuickBooks data files, Sage data files, Xero data files, or any other accounting software files.</w:t>
      </w:r>
    </w:p>
    <w:p>
      <w:pPr>
        <w:pStyle w:val="ListBullet"/>
      </w:pPr>
      <w:r>
        <w:t>All loan documents, promissory notes, lines of credit, and shareholder loan records.</w:t>
      </w:r>
    </w:p>
    <w:p>
      <w:pPr>
        <w:pStyle w:val="ListBullet"/>
      </w:pPr>
      <w:r>
        <w:t>All capital contribution records and shareholder distribution records.</w:t>
      </w:r>
    </w:p>
    <w:p>
      <w:pPr>
        <w:pStyle w:val="ListBullet"/>
      </w:pPr>
      <w:r>
        <w:t>All meeting minutes, board resolutions, and corporate governance records.</w:t>
      </w:r>
    </w:p>
    <w:p>
      <w:pPr>
        <w:pStyle w:val="ListBullet"/>
      </w:pPr>
      <w:r>
        <w:t>All text messages, emails, and other electronic communications between Salim Mansour and any employee, vendor, customer, or family member regarding the operations of the corporation.</w:t>
      </w:r>
    </w:p>
    <w:p>
      <w:pPr>
        <w:pStyle w:val="ListBullet"/>
      </w:pPr>
      <w:r>
        <w:t>All photographs and videos taken of the business premises, of vehicles serviced, of repairs performed, or of any business activity.</w:t>
      </w:r>
    </w:p>
    <w:p>
      <w:pPr>
        <w:pStyle w:val="Heading2"/>
      </w:pPr>
      <w:r>
        <w:t>3. Specific Affirmative Obligations</w:t>
      </w:r>
    </w:p>
    <w:p>
      <w:r>
        <w:rPr>
          <w:rFonts w:ascii="Times New Roman" w:hAnsi="Times New Roman"/>
          <w:sz w:val="24"/>
        </w:rPr>
        <w:t>This litigation hold imposes specific affirmative obligations on every person to whom it is addressed. These obligations are not optional and are not subject to individual discretion.</w:t>
      </w:r>
    </w:p>
    <w:p>
      <w:pPr>
        <w:pStyle w:val="ListNumber"/>
      </w:pPr>
      <w:r>
        <w:t>Suspend immediately any routine document destruction policy, including any practice of shredding paper records on a periodic basis, any automatic email deletion settings, any recycling of electronic devices, and any practice of overwriting backup tapes or other storage media.</w:t>
      </w:r>
    </w:p>
    <w:p>
      <w:pPr>
        <w:pStyle w:val="ListNumber"/>
      </w:pPr>
      <w:r>
        <w:t>Take affirmative steps to identify and locate every record described in this memorandum that is in your possession, custody, or control, regardless of the format or location of the record.</w:t>
      </w:r>
    </w:p>
    <w:p>
      <w:pPr>
        <w:pStyle w:val="ListNumber"/>
      </w:pPr>
      <w:r>
        <w:t>Place every such record in a secure location, whether physical or electronic, where it cannot be altered, destroyed, or lost.</w:t>
      </w:r>
    </w:p>
    <w:p>
      <w:pPr>
        <w:pStyle w:val="ListNumber"/>
      </w:pPr>
      <w:r>
        <w:t>Do not delete, modify, or alter any electronic record. Do not perform any action on any electronic device that would result in the overwriting of file metadata, including but not limited to creation dates, modification dates, or access dates.</w:t>
      </w:r>
    </w:p>
    <w:p>
      <w:pPr>
        <w:pStyle w:val="ListNumber"/>
      </w:pPr>
      <w:r>
        <w:t>Do not discard, modify, or alter any physical record, including but not limited to paper documents, receipts, invoices, and handwritten notes.</w:t>
      </w:r>
    </w:p>
    <w:p>
      <w:pPr>
        <w:pStyle w:val="ListNumber"/>
      </w:pPr>
      <w:r>
        <w:t>If you encounter any record that you are uncertain whether to preserve, preserve it and contact counsel for guidance.</w:t>
      </w:r>
    </w:p>
    <w:p>
      <w:pPr>
        <w:pStyle w:val="ListNumber"/>
      </w:pPr>
      <w:r>
        <w:t>Notify counsel immediately if you become aware of any record that has already been destroyed, lost, or altered, whether the destruction occurred before or after the date of this memorandum.</w:t>
      </w:r>
    </w:p>
    <w:p>
      <w:pPr>
        <w:pStyle w:val="ListNumber"/>
      </w:pPr>
      <w:r>
        <w:t>Notify counsel immediately if you receive any third-party subpoena, summons, or other process relating to the corporation or to Salim Mansour.</w:t>
      </w:r>
    </w:p>
    <w:p>
      <w:pPr>
        <w:pStyle w:val="Heading2"/>
      </w:pPr>
      <w:r>
        <w:t>4. Specific Prohibitions</w:t>
      </w:r>
    </w:p>
    <w:p>
      <w:r>
        <w:rPr>
          <w:rFonts w:ascii="Times New Roman" w:hAnsi="Times New Roman"/>
          <w:sz w:val="24"/>
        </w:rPr>
        <w:t>This litigation hold also imposes specific prohibitions. These prohibitions are likewise not optional and are likewise not subject to individual discretion.</w:t>
      </w:r>
    </w:p>
    <w:p>
      <w:pPr>
        <w:pStyle w:val="ListBullet"/>
      </w:pPr>
      <w:r>
        <w:t>Do not destroy any record subject to this hold.</w:t>
      </w:r>
    </w:p>
    <w:p>
      <w:pPr>
        <w:pStyle w:val="ListBullet"/>
      </w:pPr>
      <w:r>
        <w:t>Do not modify any record subject to this hold.</w:t>
      </w:r>
    </w:p>
    <w:p>
      <w:pPr>
        <w:pStyle w:val="ListBullet"/>
      </w:pPr>
      <w:r>
        <w:t>Do not move any record subject to this hold to a location where it may be lost or destroyed.</w:t>
      </w:r>
    </w:p>
    <w:p>
      <w:pPr>
        <w:pStyle w:val="ListBullet"/>
      </w:pPr>
      <w:r>
        <w:t>Do not allow any unauthorized person to access any record subject to this hold.</w:t>
      </w:r>
    </w:p>
    <w:p>
      <w:pPr>
        <w:pStyle w:val="ListBullet"/>
      </w:pPr>
      <w:r>
        <w:t>Do not discuss the substance of the IRS examination with any person other than counsel and other than other persons who have been advised by counsel that they may participate in privileged discussions.</w:t>
      </w:r>
    </w:p>
    <w:p>
      <w:pPr>
        <w:pStyle w:val="ListBullet"/>
      </w:pPr>
      <w:r>
        <w:t>Do not respond to any contact from the Internal Revenue Service without first notifying counsel.</w:t>
      </w:r>
    </w:p>
    <w:p>
      <w:pPr>
        <w:pStyle w:val="ListBullet"/>
      </w:pPr>
      <w:r>
        <w:t>Do not respond to any third-party subpoena or summons without first notifying counsel.</w:t>
      </w:r>
    </w:p>
    <w:p>
      <w:pPr>
        <w:pStyle w:val="ListBullet"/>
      </w:pPr>
      <w:r>
        <w:t>Do not make any public statement about the examination, including any statement on social media.</w:t>
      </w:r>
    </w:p>
    <w:p>
      <w:pPr>
        <w:pStyle w:val="Heading2"/>
      </w:pPr>
      <w:r>
        <w:t>5. The Legal Consequences of Violation</w:t>
      </w:r>
    </w:p>
    <w:p>
      <w:r>
        <w:rPr>
          <w:rFonts w:ascii="Times New Roman" w:hAnsi="Times New Roman"/>
          <w:sz w:val="24"/>
        </w:rPr>
        <w:t>Violation of this litigation hold has consequences that are severe and that compound across multiple bodies of law. Under the case law of the Tax Court and the federal courts, the destruction of records during the pendency of an examination supports an adverse inference that the destroyed records contained evidence harmful to the taxpayer. See for example DiLeo v. Commissioner, 96 T.C. 858, 875 (1991), and Petzoldt v. Commissioner, 92 T.C. 661, 700 (1989). Under Bradford v. Commissioner, 796 F.2d 303, 307 (9th Cir. 1986), the destruction or concealment of records is one of the eleven recognized badges of fraud and supports a finding that any underpayment is attributable to fraud under Internal Revenue Code section 6663. Under 18 United States Code section 1519, the knowing destruction, mutilation, or concealment of any record with the intent to impede or obstruct an investigation is a felony punishable by up to twenty years of imprisonment. Under Internal Revenue Code section 7212(a), corrupt or forcible interference with the due administration of the internal revenue laws is a felony punishable by up to three years of imprisonment. Under Internal Revenue Code section 7206(1) and section 7207, the knowing submission of false documents to the Service is a felony. The aggregate exposure for violation of this hold is therefore measured not in dollars but in years of imprisonment.</w:t>
      </w:r>
    </w:p>
    <w:p>
      <w:pPr>
        <w:pStyle w:val="Heading2"/>
      </w:pPr>
      <w:r>
        <w:t>6. Forensic Preservation Protocol</w:t>
      </w:r>
    </w:p>
    <w:p>
      <w:r>
        <w:rPr>
          <w:rFonts w:ascii="Times New Roman" w:hAnsi="Times New Roman"/>
          <w:sz w:val="24"/>
        </w:rPr>
        <w:t>Because electronic records are particularly susceptible to inadvertent alteration, the following forensic preservation protocol applies. Every electronic device used by the corporation or by Salim Mansour during the period subject to the hold must be powered down and isolated to prevent automatic synchronization, cloud backup, or remote wiping. Counsel will arrange for a forensic imaging service to capture bit-for-bit copies of all such devices. Until such imaging is complete, the devices must remain isolated. Cloud accounts including Google, Microsoft, Apple, Dropbox, and any other cloud service must have all auto-delete settings disabled. Email accounts must have all retention policies suspended. Accounting software accounts must have all data export and audit log functions enabled.</w:t>
      </w:r>
    </w:p>
    <w:p>
      <w:pPr>
        <w:pStyle w:val="Heading2"/>
      </w:pPr>
      <w:r>
        <w:t>7. Acknowledgment and Confirmation</w:t>
      </w:r>
    </w:p>
    <w:p>
      <w:r>
        <w:rPr>
          <w:rFonts w:ascii="Times New Roman" w:hAnsi="Times New Roman"/>
          <w:sz w:val="24"/>
        </w:rPr>
        <w:t>By accepting this memorandum, every recipient acknowledges receipt and understanding of its terms and confirms their commitment to comply with every preservation obligation and prohibition set forth herein. Salim Mansour, as sole shareholder and corporate officer, is specifically responsible for ensuring that every employee, vendor, family member, and other person within his sphere of influence receives a copy of this memorandum and complies with it. Salim Mansour shall maintain a written log of every person to whom this memorandum has been distributed, the date of distribution, and the method of distribution. That log shall be provided to counsel upon request and may be necessary to demonstrate the good faith of the corporation's preservation efforts in any subsequent proceeding.</w:t>
      </w:r>
    </w:p>
    <w:p>
      <w:pPr>
        <w:pStyle w:val="Heading2"/>
      </w:pPr>
      <w:r>
        <w:t>8. Duration of the Hold</w:t>
      </w:r>
    </w:p>
    <w:p>
      <w:r>
        <w:rPr>
          <w:rFonts w:ascii="Times New Roman" w:hAnsi="Times New Roman"/>
          <w:sz w:val="24"/>
        </w:rPr>
        <w:t>This litigation hold remains in effect until counsel provides written notice of release. No verbal release of the hold is effective. No assumption of release based on the passage of time is effective. The hold may extend for years given the typical duration of Tax Court litigation and any subsequent appellate proceedings. The duration is irrelevant; the obligation continues until written release.</w:t>
      </w:r>
    </w:p>
    <w:p>
      <w:r>
        <w:rPr>
          <w:rFonts w:ascii="Times New Roman" w:hAnsi="Times New Roman"/>
          <w:i/>
          <w:sz w:val="24"/>
        </w:rPr>
        <w:t>Issued by:</w:t>
      </w:r>
    </w:p>
    <w:p>
      <w:r>
        <w:rPr>
          <w:rFonts w:ascii="Times New Roman" w:hAnsi="Times New Roman"/>
          <w:b/>
          <w:sz w:val="24"/>
        </w:rPr>
        <w:t>Carter Hill</w:t>
      </w:r>
    </w:p>
    <w:p>
      <w:r>
        <w:rPr>
          <w:rFonts w:ascii="Times New Roman" w:hAnsi="Times New Roman"/>
          <w:i/>
          <w:sz w:val="24"/>
        </w:rPr>
        <w:t>Chief Executive Officer &amp; Strategic Counsel</w:t>
      </w:r>
    </w:p>
    <w:p>
      <w:r>
        <w:rPr>
          <w:rFonts w:ascii="Times New Roman" w:hAnsi="Times New Roman"/>
          <w:i/>
          <w:sz w:val="24"/>
        </w:rPr>
        <w:t>Day 7 Public Benefit Corporation</w:t>
      </w:r>
    </w:p>
    <w:p>
      <w:r>
        <w:rPr>
          <w:rFonts w:ascii="Times New Roman" w:hAnsi="Times New Roman"/>
          <w:b/>
          <w:sz w:val="24"/>
        </w:rPr>
        <w:t>ACKNOWLEDGMENT OF RECEIPT AND UNDERSTANDING:</w:t>
      </w:r>
    </w:p>
    <w:p>
      <w:r>
        <w:rPr>
          <w:rFonts w:ascii="Times New Roman" w:hAnsi="Times New Roman"/>
          <w:sz w:val="24"/>
        </w:rPr>
        <w:t>I, ______________________________, acknowledge that I have received this Litigation Hold Memorandum, that I have read it in its entirety, that I understand my obligations under it, and that I commit to comply with every preservation obligation and prohibition set forth herein until I receive written notice of release from counsel.</w:t>
      </w:r>
    </w:p>
    <w:p>
      <w:r>
        <w:rPr>
          <w:rFonts w:ascii="Times New Roman" w:hAnsi="Times New Roman"/>
          <w:sz w:val="24"/>
        </w:rPr>
        <w:t>Signature: _________________________________   Date: _____________</w:t>
      </w:r>
    </w:p>
    <w:p>
      <w:r>
        <w:rPr>
          <w:rFonts w:ascii="Times New Roman" w:hAnsi="Times New Roman"/>
          <w:sz w:val="24"/>
        </w:rPr>
        <w:t>Print Name: ________________________________</w:t>
      </w:r>
    </w:p>
    <w:p>
      <w:r>
        <w:rPr>
          <w:rFonts w:ascii="Times New Roman" w:hAnsi="Times New Roman"/>
          <w:sz w:val="24"/>
        </w:rPr>
        <w:t>Title/Relationship to Corporation: __________________________________</w:t>
      </w:r>
    </w:p>
    <w:tbl>
      <w:tblPr>
        <w:tblStyle w:val="TableGrid"/>
        <w:tblW w:type="auto" w:w="0"/>
        <w:tblLook w:firstColumn="1" w:firstRow="1" w:lastColumn="0" w:lastRow="0" w:noHBand="0" w:noVBand="1" w:val="04A0"/>
      </w:tblPr>
      <w:tblGrid>
        <w:gridCol w:w="4680"/>
        <w:gridCol w:w="4680"/>
      </w:tblGrid>
      <w:tr>
        <w:tc>
          <w:tcPr>
            <w:tcW w:type="dxa" w:w="4680"/>
          </w:tcPr>
          <w:p>
            <w:r>
              <w:rPr>
                <w:rFonts w:ascii="Times New Roman" w:hAnsi="Times New Roman"/>
                <w:sz w:val="20"/>
              </w:rPr>
              <w:t>Salim's Silver Star Auto, Inc.</w:t>
            </w:r>
          </w:p>
        </w:tc>
        <w:tc>
          <w:tcPr>
            <w:tcW w:type="dxa" w:w="4680"/>
          </w:tcPr>
          <w:p>
            <w:r>
              <w:rPr>
                <w:rFonts w:ascii="Times New Roman" w:hAnsi="Times New Roman"/>
                <w:sz w:val="20"/>
              </w:rPr>
              <w:t>EIN 84-1453793</w:t>
            </w:r>
          </w:p>
        </w:tc>
      </w:tr>
    </w:tbl>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i/>
        <w:sz w:val="16"/>
      </w:rPr>
      <w:t>Prepared by Genesis AI Legal Intelligence | Reviewed by Carter Hill &amp; Vince Caruso</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